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759F0" w14:textId="77777777" w:rsidR="00A57BFF" w:rsidRDefault="00A57BFF" w:rsidP="00A57BFF">
      <w:pPr>
        <w:rPr>
          <w:rFonts w:ascii="Bookman Old Style" w:hAnsi="Bookman Old Style"/>
          <w:b/>
          <w:bCs/>
          <w:sz w:val="28"/>
          <w:szCs w:val="28"/>
        </w:rPr>
      </w:pPr>
      <w:bookmarkStart w:id="0" w:name="_Toc387653150"/>
      <w:bookmarkStart w:id="1" w:name="_Toc501399492"/>
      <w:bookmarkStart w:id="2" w:name="_Ref384292228"/>
      <w:bookmarkStart w:id="3" w:name="_Ref384292551"/>
      <w:r w:rsidRPr="00F34B5B">
        <w:rPr>
          <w:rFonts w:ascii="Bookman Old Style" w:hAnsi="Bookman Old Style"/>
          <w:b/>
          <w:bCs/>
          <w:sz w:val="28"/>
          <w:szCs w:val="28"/>
        </w:rPr>
        <w:t>D-02.03.01. Wykonanie nasypów</w:t>
      </w:r>
      <w:bookmarkEnd w:id="0"/>
      <w:bookmarkEnd w:id="1"/>
    </w:p>
    <w:p w14:paraId="26342DE3" w14:textId="77777777" w:rsidR="00F34B5B" w:rsidRPr="00F34B5B" w:rsidRDefault="00F34B5B" w:rsidP="00A57BFF">
      <w:pPr>
        <w:rPr>
          <w:rFonts w:ascii="Bookman Old Style" w:hAnsi="Bookman Old Style"/>
          <w:b/>
          <w:bCs/>
          <w:sz w:val="28"/>
          <w:szCs w:val="28"/>
        </w:rPr>
      </w:pPr>
    </w:p>
    <w:p w14:paraId="35FDCF43" w14:textId="2A62FE6D" w:rsidR="00A57BFF" w:rsidRPr="00F34B5B" w:rsidRDefault="00A57BFF" w:rsidP="00A57BFF">
      <w:pPr>
        <w:rPr>
          <w:rFonts w:ascii="Bookman Old Style" w:hAnsi="Bookman Old Style"/>
          <w:bCs/>
          <w:sz w:val="10"/>
          <w:szCs w:val="10"/>
        </w:rPr>
      </w:pPr>
      <w:r w:rsidRPr="00F34B5B">
        <w:rPr>
          <w:rFonts w:ascii="Bookman Old Style" w:hAnsi="Bookman Old Style"/>
        </w:rPr>
        <w:tab/>
      </w:r>
      <w:r w:rsidRPr="00F34B5B">
        <w:rPr>
          <w:rFonts w:ascii="Bookman Old Style" w:hAnsi="Bookman Old Style"/>
          <w:sz w:val="20"/>
          <w:szCs w:val="20"/>
        </w:rPr>
        <w:t xml:space="preserve"> </w:t>
      </w:r>
      <w:bookmarkEnd w:id="2"/>
      <w:bookmarkEnd w:id="3"/>
    </w:p>
    <w:p w14:paraId="65050365" w14:textId="77777777" w:rsidR="00A57BFF" w:rsidRPr="00F34B5B" w:rsidRDefault="00A57BFF" w:rsidP="00A57BFF">
      <w:pPr>
        <w:jc w:val="both"/>
        <w:rPr>
          <w:rFonts w:ascii="Bookman Old Style" w:hAnsi="Bookman Old Style"/>
          <w:b/>
          <w:sz w:val="20"/>
          <w:szCs w:val="20"/>
        </w:rPr>
      </w:pPr>
      <w:r w:rsidRPr="00F34B5B">
        <w:rPr>
          <w:rFonts w:ascii="Bookman Old Style" w:hAnsi="Bookman Old Style"/>
          <w:b/>
          <w:sz w:val="20"/>
          <w:szCs w:val="20"/>
        </w:rPr>
        <w:t>1. WSTĘP</w:t>
      </w:r>
    </w:p>
    <w:p w14:paraId="0C603387"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1.1. Przedmiot STWiORB</w:t>
      </w:r>
    </w:p>
    <w:p w14:paraId="61A582DB" w14:textId="7E690B01" w:rsidR="00A57BFF" w:rsidRPr="00F34B5B" w:rsidRDefault="00A57BFF" w:rsidP="00A57BFF">
      <w:pPr>
        <w:jc w:val="both"/>
        <w:rPr>
          <w:rFonts w:ascii="Bookman Old Style" w:hAnsi="Bookman Old Style"/>
          <w:b/>
          <w:bCs/>
          <w:sz w:val="20"/>
          <w:szCs w:val="20"/>
        </w:rPr>
      </w:pPr>
      <w:r w:rsidRPr="00F34B5B">
        <w:rPr>
          <w:rFonts w:ascii="Bookman Old Style" w:hAnsi="Bookman Old Style"/>
          <w:sz w:val="20"/>
          <w:szCs w:val="20"/>
        </w:rPr>
        <w:t>Przedmiotem niniejszej STWiORB są wymagania dotyczące wykonania i odbioru robót związanych z budową nasypów z gruntu kat. I-VI, dla zadania</w:t>
      </w:r>
      <w:r w:rsidR="00D63CE9" w:rsidRPr="00F34B5B">
        <w:rPr>
          <w:rFonts w:ascii="Bookman Old Style" w:hAnsi="Bookman Old Style"/>
          <w:sz w:val="20"/>
          <w:szCs w:val="20"/>
        </w:rPr>
        <w:t xml:space="preserve">: </w:t>
      </w:r>
      <w:r w:rsidR="001132CC" w:rsidRPr="001132CC">
        <w:rPr>
          <w:rFonts w:ascii="Bookman Old Style" w:hAnsi="Bookman Old Style"/>
          <w:b/>
          <w:bCs/>
          <w:sz w:val="20"/>
          <w:szCs w:val="20"/>
        </w:rPr>
        <w:t>„Budowa ul. Cichej, Południowej i Zachodniej w msc. Bukowa</w:t>
      </w:r>
      <w:r w:rsidRPr="00F34B5B">
        <w:rPr>
          <w:rFonts w:ascii="Bookman Old Style" w:hAnsi="Bookman Old Style"/>
          <w:b/>
          <w:bCs/>
          <w:sz w:val="20"/>
          <w:szCs w:val="20"/>
        </w:rPr>
        <w:t>”.</w:t>
      </w:r>
    </w:p>
    <w:p w14:paraId="097D4125" w14:textId="77777777" w:rsidR="00D63CE9" w:rsidRPr="00F34B5B" w:rsidRDefault="00D63CE9" w:rsidP="00A57BFF">
      <w:pPr>
        <w:jc w:val="both"/>
        <w:rPr>
          <w:rFonts w:ascii="Bookman Old Style" w:hAnsi="Bookman Old Style"/>
          <w:b/>
          <w:bCs/>
          <w:sz w:val="20"/>
          <w:szCs w:val="20"/>
        </w:rPr>
      </w:pPr>
    </w:p>
    <w:p w14:paraId="2599E9F8"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1.2. Zakres stosowania STWiORB</w:t>
      </w:r>
    </w:p>
    <w:p w14:paraId="1CB1A3D7" w14:textId="77777777" w:rsidR="00A57BFF" w:rsidRPr="00F34B5B" w:rsidRDefault="00A57BFF" w:rsidP="00A57BFF">
      <w:pPr>
        <w:pStyle w:val="Tekstpodstawowy"/>
        <w:keepNext/>
        <w:keepLines/>
        <w:jc w:val="both"/>
        <w:rPr>
          <w:rFonts w:ascii="Bookman Old Style" w:hAnsi="Bookman Old Style"/>
          <w:b w:val="0"/>
          <w:color w:val="auto"/>
          <w:sz w:val="20"/>
        </w:rPr>
      </w:pPr>
      <w:r w:rsidRPr="00F34B5B">
        <w:rPr>
          <w:rFonts w:ascii="Bookman Old Style" w:hAnsi="Bookman Old Style"/>
          <w:b w:val="0"/>
          <w:color w:val="auto"/>
          <w:sz w:val="20"/>
        </w:rPr>
        <w:t xml:space="preserve">STWiORB jest stosowana jako dokument kontraktowy przy realizacji robót wymienionych w pkt. 1.1. </w:t>
      </w:r>
    </w:p>
    <w:p w14:paraId="65E7334A"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1.3. Zakres robót ujętych w STWiORB</w:t>
      </w:r>
    </w:p>
    <w:p w14:paraId="71A782F5" w14:textId="77777777" w:rsidR="00A57BFF" w:rsidRPr="00F34B5B" w:rsidRDefault="00A57BFF" w:rsidP="00A57BFF">
      <w:pPr>
        <w:tabs>
          <w:tab w:val="left" w:pos="1008"/>
          <w:tab w:val="left" w:pos="1134"/>
          <w:tab w:val="left" w:pos="7459"/>
        </w:tabs>
        <w:jc w:val="both"/>
        <w:rPr>
          <w:rFonts w:ascii="Bookman Old Style" w:hAnsi="Bookman Old Style"/>
          <w:strike/>
          <w:sz w:val="20"/>
          <w:szCs w:val="20"/>
        </w:rPr>
      </w:pPr>
      <w:r w:rsidRPr="00F34B5B">
        <w:rPr>
          <w:rFonts w:ascii="Bookman Old Style" w:hAnsi="Bookman Old Style"/>
          <w:sz w:val="20"/>
          <w:szCs w:val="20"/>
        </w:rPr>
        <w:t xml:space="preserve">Ustalenia zawarte w niniejszej STWiORB dotyczą wykonania nasypu zgodnie z zakresem </w:t>
      </w:r>
      <w:r w:rsidRPr="00F34B5B">
        <w:rPr>
          <w:rFonts w:ascii="Bookman Old Style" w:hAnsi="Bookman Old Style"/>
          <w:sz w:val="20"/>
          <w:szCs w:val="20"/>
        </w:rPr>
        <w:br/>
        <w:t>w Dokumentacji Projektowej z gruntu kat I-VI uzyskanego z wykopu lub z dowozu.</w:t>
      </w:r>
    </w:p>
    <w:p w14:paraId="4257F27B" w14:textId="77777777" w:rsidR="00A57BFF" w:rsidRPr="00F34B5B" w:rsidRDefault="00A57BFF" w:rsidP="00A57BFF">
      <w:pPr>
        <w:tabs>
          <w:tab w:val="left" w:pos="753"/>
        </w:tabs>
        <w:jc w:val="both"/>
        <w:rPr>
          <w:rFonts w:ascii="Bookman Old Style" w:hAnsi="Bookman Old Style"/>
          <w:b/>
          <w:sz w:val="20"/>
          <w:szCs w:val="20"/>
          <w:u w:val="single"/>
        </w:rPr>
      </w:pPr>
      <w:r w:rsidRPr="00F34B5B">
        <w:rPr>
          <w:rFonts w:ascii="Bookman Old Style" w:hAnsi="Bookman Old Style"/>
          <w:b/>
          <w:sz w:val="20"/>
          <w:szCs w:val="20"/>
          <w:u w:val="single"/>
        </w:rPr>
        <w:t>1.4. Określenia podstawowe</w:t>
      </w:r>
    </w:p>
    <w:p w14:paraId="42FE2DBA" w14:textId="3F1FDB55" w:rsidR="00A57BFF" w:rsidRPr="00F34B5B" w:rsidRDefault="00A57BFF" w:rsidP="00A57BFF">
      <w:pPr>
        <w:tabs>
          <w:tab w:val="left" w:pos="792"/>
        </w:tabs>
        <w:jc w:val="both"/>
        <w:rPr>
          <w:rFonts w:ascii="Bookman Old Style" w:hAnsi="Bookman Old Style"/>
          <w:sz w:val="20"/>
        </w:rPr>
      </w:pPr>
      <w:r w:rsidRPr="00F34B5B">
        <w:rPr>
          <w:rFonts w:ascii="Bookman Old Style" w:hAnsi="Bookman Old Style"/>
          <w:sz w:val="20"/>
          <w:szCs w:val="20"/>
        </w:rPr>
        <w:t>Wszystkie określenia</w:t>
      </w:r>
      <w:r w:rsidRPr="00F34B5B">
        <w:rPr>
          <w:rFonts w:ascii="Bookman Old Style" w:hAnsi="Bookman Old Style"/>
          <w:b/>
          <w:sz w:val="20"/>
          <w:szCs w:val="20"/>
        </w:rPr>
        <w:t xml:space="preserve"> -</w:t>
      </w:r>
      <w:r w:rsidRPr="00F34B5B">
        <w:rPr>
          <w:rFonts w:ascii="Bookman Old Style" w:hAnsi="Bookman Old Style"/>
          <w:sz w:val="20"/>
          <w:szCs w:val="20"/>
        </w:rPr>
        <w:t xml:space="preserve"> są zgodne z obowiązującymi, odpowiednimi polskimi normami </w:t>
      </w:r>
      <w:r w:rsidRPr="00F34B5B">
        <w:rPr>
          <w:rFonts w:ascii="Bookman Old Style" w:hAnsi="Bookman Old Style"/>
          <w:sz w:val="20"/>
          <w:szCs w:val="20"/>
        </w:rPr>
        <w:br/>
      </w:r>
      <w:r w:rsidRPr="00F34B5B">
        <w:rPr>
          <w:rFonts w:ascii="Bookman Old Style" w:hAnsi="Bookman Old Style"/>
          <w:sz w:val="20"/>
        </w:rPr>
        <w:t>i z definicjami podanymi w STWiORB D-0</w:t>
      </w:r>
      <w:r w:rsidR="00D63CE9" w:rsidRPr="00F34B5B">
        <w:rPr>
          <w:rFonts w:ascii="Bookman Old Style" w:hAnsi="Bookman Old Style"/>
          <w:sz w:val="20"/>
        </w:rPr>
        <w:t>0</w:t>
      </w:r>
      <w:r w:rsidRPr="00F34B5B">
        <w:rPr>
          <w:rFonts w:ascii="Bookman Old Style" w:hAnsi="Bookman Old Style"/>
          <w:sz w:val="20"/>
        </w:rPr>
        <w:t>.00.0</w:t>
      </w:r>
      <w:r w:rsidR="00D63CE9" w:rsidRPr="00F34B5B">
        <w:rPr>
          <w:rFonts w:ascii="Bookman Old Style" w:hAnsi="Bookman Old Style"/>
          <w:sz w:val="20"/>
        </w:rPr>
        <w:t>0</w:t>
      </w:r>
      <w:r w:rsidRPr="00F34B5B">
        <w:rPr>
          <w:rFonts w:ascii="Bookman Old Style" w:hAnsi="Bookman Old Style"/>
          <w:sz w:val="20"/>
        </w:rPr>
        <w:t>. "Wymagania ogólne" pkt 1.4.</w:t>
      </w:r>
    </w:p>
    <w:p w14:paraId="2C2D18A1" w14:textId="77777777" w:rsidR="00A57BFF" w:rsidRPr="00F34B5B" w:rsidRDefault="00A57BFF" w:rsidP="00A57BFF">
      <w:pPr>
        <w:jc w:val="both"/>
        <w:rPr>
          <w:rFonts w:ascii="Bookman Old Style" w:hAnsi="Bookman Old Style"/>
          <w:b/>
          <w:sz w:val="20"/>
          <w:u w:val="single"/>
        </w:rPr>
      </w:pPr>
      <w:r w:rsidRPr="00F34B5B">
        <w:rPr>
          <w:rFonts w:ascii="Bookman Old Style" w:hAnsi="Bookman Old Style"/>
          <w:b/>
          <w:sz w:val="20"/>
          <w:u w:val="single"/>
        </w:rPr>
        <w:t>1.5. Ogólne wymagania dotyczące robót</w:t>
      </w:r>
    </w:p>
    <w:p w14:paraId="5916AD15" w14:textId="442E10D0" w:rsidR="00A57BFF" w:rsidRPr="00F34B5B" w:rsidRDefault="00A57BFF" w:rsidP="00A57BFF">
      <w:pPr>
        <w:jc w:val="both"/>
        <w:rPr>
          <w:rFonts w:ascii="Bookman Old Style" w:hAnsi="Bookman Old Style"/>
          <w:sz w:val="20"/>
        </w:rPr>
      </w:pPr>
      <w:r w:rsidRPr="00F34B5B">
        <w:rPr>
          <w:rFonts w:ascii="Bookman Old Style" w:hAnsi="Bookman Old Style"/>
          <w:sz w:val="20"/>
        </w:rPr>
        <w:t>Ogólne wymagania dotyczące robót podano w STWiORB D</w:t>
      </w:r>
      <w:r w:rsidR="00D63CE9" w:rsidRPr="00F34B5B">
        <w:rPr>
          <w:rFonts w:ascii="Bookman Old Style" w:hAnsi="Bookman Old Style"/>
          <w:sz w:val="20"/>
        </w:rPr>
        <w:t xml:space="preserve"> D-00.00.00.</w:t>
      </w:r>
      <w:r w:rsidRPr="00F34B5B">
        <w:rPr>
          <w:rFonts w:ascii="Bookman Old Style" w:hAnsi="Bookman Old Style"/>
          <w:sz w:val="20"/>
        </w:rPr>
        <w:t xml:space="preserve"> "Wymagania ogólne" pkt. 1.5.</w:t>
      </w:r>
    </w:p>
    <w:p w14:paraId="55FADB3D" w14:textId="77777777" w:rsidR="00A57BFF" w:rsidRPr="00F34B5B" w:rsidRDefault="00A57BFF" w:rsidP="00A57BFF">
      <w:pPr>
        <w:spacing w:before="240"/>
        <w:jc w:val="both"/>
        <w:rPr>
          <w:rFonts w:ascii="Bookman Old Style" w:hAnsi="Bookman Old Style"/>
          <w:b/>
          <w:sz w:val="20"/>
          <w:szCs w:val="20"/>
        </w:rPr>
      </w:pPr>
      <w:r w:rsidRPr="00F34B5B">
        <w:rPr>
          <w:rFonts w:ascii="Bookman Old Style" w:hAnsi="Bookman Old Style"/>
          <w:b/>
          <w:sz w:val="20"/>
          <w:szCs w:val="20"/>
        </w:rPr>
        <w:t>2. MATERIAŁY</w:t>
      </w:r>
    </w:p>
    <w:p w14:paraId="13B9A07C" w14:textId="77777777" w:rsidR="00A57BFF" w:rsidRPr="00F34B5B" w:rsidRDefault="00A57BFF" w:rsidP="00A57BFF">
      <w:pPr>
        <w:pStyle w:val="StandardowytekstZnak"/>
        <w:rPr>
          <w:rFonts w:ascii="Bookman Old Style" w:hAnsi="Bookman Old Style"/>
          <w:b/>
          <w:u w:val="single"/>
        </w:rPr>
      </w:pPr>
      <w:bookmarkStart w:id="4" w:name="_Toc406295852"/>
      <w:bookmarkStart w:id="5" w:name="_Toc407161272"/>
      <w:r w:rsidRPr="00F34B5B">
        <w:rPr>
          <w:rFonts w:ascii="Bookman Old Style" w:hAnsi="Bookman Old Style"/>
          <w:b/>
          <w:u w:val="single"/>
        </w:rPr>
        <w:t>2.1. Ogólne wymagania dotyczące materiałów</w:t>
      </w:r>
      <w:bookmarkEnd w:id="4"/>
      <w:bookmarkEnd w:id="5"/>
    </w:p>
    <w:p w14:paraId="534E690C" w14:textId="3647D999" w:rsidR="00A57BFF" w:rsidRPr="00F34B5B" w:rsidRDefault="00A57BFF" w:rsidP="00A57BFF">
      <w:pPr>
        <w:pStyle w:val="StandardowytekstZnak"/>
        <w:rPr>
          <w:rFonts w:ascii="Bookman Old Style" w:hAnsi="Bookman Old Style"/>
        </w:rPr>
      </w:pPr>
      <w:r w:rsidRPr="00F34B5B">
        <w:rPr>
          <w:rFonts w:ascii="Bookman Old Style" w:hAnsi="Bookman Old Style"/>
        </w:rPr>
        <w:t xml:space="preserve">Ogólne wymagania dotyczące materiałów, ich pozyskiwania i składowania, podano </w:t>
      </w:r>
      <w:r w:rsidRPr="00F34B5B">
        <w:rPr>
          <w:rFonts w:ascii="Bookman Old Style" w:hAnsi="Bookman Old Style"/>
        </w:rPr>
        <w:br/>
        <w:t xml:space="preserve">w STWiORB </w:t>
      </w:r>
      <w:r w:rsidR="00D63CE9" w:rsidRPr="00F34B5B">
        <w:rPr>
          <w:rFonts w:ascii="Bookman Old Style" w:hAnsi="Bookman Old Style"/>
        </w:rPr>
        <w:t xml:space="preserve">D-00.00.00. </w:t>
      </w:r>
      <w:r w:rsidRPr="00F34B5B">
        <w:rPr>
          <w:rFonts w:ascii="Bookman Old Style" w:hAnsi="Bookman Old Style"/>
        </w:rPr>
        <w:t>pkt. 2.</w:t>
      </w:r>
    </w:p>
    <w:p w14:paraId="0220CD73" w14:textId="77777777" w:rsidR="00A57BFF" w:rsidRPr="00F34B5B" w:rsidRDefault="00A57BFF" w:rsidP="00A57BFF">
      <w:pPr>
        <w:pStyle w:val="StandardowytekstZnak"/>
        <w:rPr>
          <w:rFonts w:ascii="Bookman Old Style" w:hAnsi="Bookman Old Style"/>
          <w:b/>
          <w:u w:val="single"/>
        </w:rPr>
      </w:pPr>
      <w:bookmarkStart w:id="6" w:name="_Toc406295853"/>
      <w:bookmarkStart w:id="7" w:name="_Toc407161273"/>
      <w:r w:rsidRPr="00F34B5B">
        <w:rPr>
          <w:rFonts w:ascii="Bookman Old Style" w:hAnsi="Bookman Old Style"/>
          <w:b/>
          <w:u w:val="single"/>
        </w:rPr>
        <w:t xml:space="preserve">2.2. </w:t>
      </w:r>
      <w:bookmarkEnd w:id="6"/>
      <w:bookmarkEnd w:id="7"/>
      <w:r w:rsidRPr="00F34B5B">
        <w:rPr>
          <w:rFonts w:ascii="Bookman Old Style" w:hAnsi="Bookman Old Style"/>
          <w:b/>
          <w:u w:val="single"/>
        </w:rPr>
        <w:t>Grunty i materiały do nasypów</w:t>
      </w:r>
    </w:p>
    <w:p w14:paraId="3F767152" w14:textId="77777777" w:rsidR="00A57BFF" w:rsidRPr="00F34B5B" w:rsidRDefault="00A57BFF" w:rsidP="00A57BFF">
      <w:pPr>
        <w:pStyle w:val="StandardowytekstZnak"/>
        <w:rPr>
          <w:rFonts w:ascii="Bookman Old Style" w:hAnsi="Bookman Old Style"/>
        </w:rPr>
      </w:pPr>
      <w:r w:rsidRPr="00F34B5B">
        <w:rPr>
          <w:rFonts w:ascii="Bookman Old Style" w:hAnsi="Bookman Old Style"/>
        </w:rPr>
        <w:t>Grunty i materiały dopuszczone do budowy nasypów powinny spełniać następujące wymagania:</w:t>
      </w:r>
    </w:p>
    <w:p w14:paraId="3DE627A4"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Grunty i materiały do budowy nasypów podaje tablica 1.</w:t>
      </w:r>
    </w:p>
    <w:p w14:paraId="418B88AF" w14:textId="77777777" w:rsidR="00A57BFF" w:rsidRPr="00F34B5B" w:rsidRDefault="00A57BFF" w:rsidP="00A57BFF">
      <w:pPr>
        <w:jc w:val="both"/>
        <w:rPr>
          <w:rFonts w:ascii="Bookman Old Style" w:hAnsi="Bookman Old Style"/>
          <w:b/>
          <w:sz w:val="20"/>
          <w:szCs w:val="20"/>
        </w:rPr>
      </w:pPr>
    </w:p>
    <w:p w14:paraId="21076DB4"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b/>
          <w:sz w:val="20"/>
          <w:szCs w:val="20"/>
        </w:rPr>
        <w:t>Tablica 1.</w:t>
      </w:r>
      <w:r w:rsidRPr="00F34B5B">
        <w:rPr>
          <w:rFonts w:ascii="Bookman Old Style" w:hAnsi="Bookman Old Style"/>
          <w:sz w:val="20"/>
          <w:szCs w:val="20"/>
        </w:rPr>
        <w:t xml:space="preserve"> Przydatność gruntów do wykonywania budowli ziemnych wg PN-S-02205:1998</w:t>
      </w:r>
    </w:p>
    <w:tbl>
      <w:tblPr>
        <w:tblStyle w:val="Tabela-Siatka"/>
        <w:tblW w:w="0" w:type="auto"/>
        <w:tblLook w:val="04A0" w:firstRow="1" w:lastRow="0" w:firstColumn="1" w:lastColumn="0" w:noHBand="0" w:noVBand="1"/>
      </w:tblPr>
      <w:tblGrid>
        <w:gridCol w:w="1701"/>
        <w:gridCol w:w="2481"/>
        <w:gridCol w:w="2536"/>
        <w:gridCol w:w="2487"/>
      </w:tblGrid>
      <w:tr w:rsidR="00A57BFF" w:rsidRPr="00F34B5B" w14:paraId="6571461E" w14:textId="77777777" w:rsidTr="00E37152">
        <w:trPr>
          <w:trHeight w:val="317"/>
        </w:trPr>
        <w:tc>
          <w:tcPr>
            <w:tcW w:w="1360" w:type="dxa"/>
            <w:vAlign w:val="center"/>
          </w:tcPr>
          <w:p w14:paraId="35085AD9"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Przeznaczenie</w:t>
            </w:r>
          </w:p>
        </w:tc>
        <w:tc>
          <w:tcPr>
            <w:tcW w:w="2494" w:type="dxa"/>
            <w:vAlign w:val="center"/>
          </w:tcPr>
          <w:p w14:paraId="1C92031D"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Przydatne</w:t>
            </w:r>
          </w:p>
        </w:tc>
        <w:tc>
          <w:tcPr>
            <w:tcW w:w="2551" w:type="dxa"/>
            <w:vAlign w:val="center"/>
          </w:tcPr>
          <w:p w14:paraId="288E1F91"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Przydatne</w:t>
            </w:r>
          </w:p>
          <w:p w14:paraId="6F5DC1B5"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z zastrzeżeniami</w:t>
            </w:r>
          </w:p>
        </w:tc>
        <w:tc>
          <w:tcPr>
            <w:tcW w:w="2494" w:type="dxa"/>
            <w:vAlign w:val="center"/>
          </w:tcPr>
          <w:p w14:paraId="7ADD3A41"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Treść</w:t>
            </w:r>
          </w:p>
          <w:p w14:paraId="1410D969"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zastrzeżenia</w:t>
            </w:r>
          </w:p>
        </w:tc>
      </w:tr>
      <w:tr w:rsidR="00A57BFF" w:rsidRPr="00F34B5B" w14:paraId="26AEFB91" w14:textId="77777777" w:rsidTr="00F72AB8">
        <w:trPr>
          <w:trHeight w:val="841"/>
        </w:trPr>
        <w:tc>
          <w:tcPr>
            <w:tcW w:w="1360" w:type="dxa"/>
            <w:vMerge w:val="restart"/>
            <w:vAlign w:val="center"/>
          </w:tcPr>
          <w:p w14:paraId="459BD6D9" w14:textId="77777777" w:rsidR="00A57BFF" w:rsidRPr="00F34B5B" w:rsidRDefault="00A57BFF" w:rsidP="00E37152">
            <w:pPr>
              <w:rPr>
                <w:rFonts w:ascii="Bookman Old Style" w:hAnsi="Bookman Old Style"/>
                <w:sz w:val="20"/>
                <w:szCs w:val="20"/>
              </w:rPr>
            </w:pPr>
          </w:p>
          <w:p w14:paraId="068E1688" w14:textId="77777777" w:rsidR="00A57BFF" w:rsidRPr="00F34B5B" w:rsidRDefault="00A57BFF" w:rsidP="00E37152">
            <w:pPr>
              <w:rPr>
                <w:rFonts w:ascii="Bookman Old Style" w:hAnsi="Bookman Old Style"/>
                <w:sz w:val="20"/>
                <w:szCs w:val="20"/>
              </w:rPr>
            </w:pPr>
          </w:p>
          <w:p w14:paraId="14030EC4"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Na dolne warstwy nasypów poniżej strefy przemarzania</w:t>
            </w:r>
          </w:p>
        </w:tc>
        <w:tc>
          <w:tcPr>
            <w:tcW w:w="2494" w:type="dxa"/>
            <w:vMerge w:val="restart"/>
          </w:tcPr>
          <w:p w14:paraId="545A20E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1. Rozdrobnione grunty skaliste twarde oraz grunty kamieniste, zwietrzelinowe, rumosze i otoczaki</w:t>
            </w:r>
          </w:p>
          <w:p w14:paraId="20AC7A56"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2. Żwiry i pospółki, również gliniaste</w:t>
            </w:r>
          </w:p>
          <w:p w14:paraId="13DDEEDD"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3. Piaski grubo, średnio        i drobnoziarniste, naturalne i łamane</w:t>
            </w:r>
          </w:p>
          <w:p w14:paraId="442161E9"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4. Piaski gliniaste </w:t>
            </w:r>
            <w:r w:rsidRPr="00F34B5B">
              <w:rPr>
                <w:rFonts w:ascii="Bookman Old Style" w:hAnsi="Bookman Old Style"/>
                <w:sz w:val="20"/>
                <w:szCs w:val="20"/>
              </w:rPr>
              <w:br/>
              <w:t>z domieszką frakcji żwirowo-kamienistej (morenowe) o wskaźniku różnoziarnistości U</w:t>
            </w:r>
            <w:r w:rsidRPr="00F34B5B">
              <w:rPr>
                <w:rFonts w:ascii="Bookman Old Style" w:hAnsi="Bookman Old Style"/>
                <w:sz w:val="20"/>
                <w:szCs w:val="20"/>
              </w:rPr>
              <w:sym w:font="Symbol" w:char="F0B3"/>
            </w:r>
            <w:r w:rsidRPr="00F34B5B">
              <w:rPr>
                <w:rFonts w:ascii="Bookman Old Style" w:hAnsi="Bookman Old Style"/>
                <w:sz w:val="20"/>
                <w:szCs w:val="20"/>
              </w:rPr>
              <w:t>15</w:t>
            </w:r>
          </w:p>
          <w:p w14:paraId="4FB60860"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5. Żużle wielkopiecowe </w:t>
            </w:r>
            <w:r w:rsidRPr="00F34B5B">
              <w:rPr>
                <w:rFonts w:ascii="Bookman Old Style" w:hAnsi="Bookman Old Style"/>
                <w:sz w:val="20"/>
                <w:szCs w:val="20"/>
              </w:rPr>
              <w:br/>
              <w:t xml:space="preserve">i inne metalurgiczne ze starych zwałów </w:t>
            </w:r>
            <w:r w:rsidRPr="00F34B5B">
              <w:rPr>
                <w:rFonts w:ascii="Bookman Old Style" w:hAnsi="Bookman Old Style"/>
                <w:sz w:val="20"/>
                <w:szCs w:val="20"/>
              </w:rPr>
              <w:br/>
              <w:t>(powyżej 5 lat)</w:t>
            </w:r>
          </w:p>
          <w:p w14:paraId="156C37D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6. Łupki przywęgłowe przepalone</w:t>
            </w:r>
          </w:p>
          <w:p w14:paraId="73A6512C"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lastRenderedPageBreak/>
              <w:t>7. Wysiewki kamienne           o zawartości frakcji iłowej poniżej 2%</w:t>
            </w:r>
          </w:p>
        </w:tc>
        <w:tc>
          <w:tcPr>
            <w:tcW w:w="2551" w:type="dxa"/>
          </w:tcPr>
          <w:p w14:paraId="4E84F5AD"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lastRenderedPageBreak/>
              <w:t>1. Rozdrobnione grunty skaliste miękkie</w:t>
            </w:r>
          </w:p>
          <w:p w14:paraId="5DD1CEE1" w14:textId="77777777" w:rsidR="00A57BFF" w:rsidRPr="00F34B5B" w:rsidRDefault="00A57BFF" w:rsidP="00E37152">
            <w:pPr>
              <w:jc w:val="both"/>
              <w:rPr>
                <w:rFonts w:ascii="Bookman Old Style" w:hAnsi="Bookman Old Style"/>
                <w:sz w:val="20"/>
                <w:szCs w:val="20"/>
              </w:rPr>
            </w:pPr>
          </w:p>
        </w:tc>
        <w:tc>
          <w:tcPr>
            <w:tcW w:w="2494" w:type="dxa"/>
          </w:tcPr>
          <w:p w14:paraId="54FA7031"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gdy pory w gruncie skalistym będą wypełnione gruntem lub materiałem drobnoziarnistym</w:t>
            </w:r>
          </w:p>
        </w:tc>
      </w:tr>
      <w:tr w:rsidR="00A57BFF" w:rsidRPr="00F34B5B" w14:paraId="4E7C06B4" w14:textId="77777777" w:rsidTr="00E37152">
        <w:trPr>
          <w:trHeight w:val="680"/>
        </w:trPr>
        <w:tc>
          <w:tcPr>
            <w:tcW w:w="1360" w:type="dxa"/>
            <w:vMerge/>
          </w:tcPr>
          <w:p w14:paraId="21F5B581" w14:textId="77777777" w:rsidR="00A57BFF" w:rsidRPr="00F34B5B" w:rsidRDefault="00A57BFF" w:rsidP="00E37152">
            <w:pPr>
              <w:jc w:val="both"/>
              <w:rPr>
                <w:rFonts w:ascii="Bookman Old Style" w:hAnsi="Bookman Old Style"/>
                <w:sz w:val="20"/>
                <w:szCs w:val="20"/>
              </w:rPr>
            </w:pPr>
          </w:p>
        </w:tc>
        <w:tc>
          <w:tcPr>
            <w:tcW w:w="2494" w:type="dxa"/>
            <w:vMerge/>
          </w:tcPr>
          <w:p w14:paraId="6A40E8CF" w14:textId="77777777" w:rsidR="00A57BFF" w:rsidRPr="00F34B5B" w:rsidRDefault="00A57BFF" w:rsidP="00E37152">
            <w:pPr>
              <w:jc w:val="both"/>
              <w:rPr>
                <w:rFonts w:ascii="Bookman Old Style" w:hAnsi="Bookman Old Style"/>
                <w:sz w:val="20"/>
                <w:szCs w:val="20"/>
              </w:rPr>
            </w:pPr>
          </w:p>
        </w:tc>
        <w:tc>
          <w:tcPr>
            <w:tcW w:w="2551" w:type="dxa"/>
          </w:tcPr>
          <w:p w14:paraId="573029F6" w14:textId="77777777" w:rsidR="00A57BFF" w:rsidRPr="00F34B5B" w:rsidRDefault="00A57BFF" w:rsidP="00E37152">
            <w:pPr>
              <w:pBdr>
                <w:top w:val="single" w:sz="6" w:space="1" w:color="auto"/>
              </w:pBdr>
              <w:rPr>
                <w:rFonts w:ascii="Bookman Old Style" w:hAnsi="Bookman Old Style"/>
                <w:sz w:val="20"/>
                <w:szCs w:val="20"/>
              </w:rPr>
            </w:pPr>
            <w:r w:rsidRPr="00F34B5B">
              <w:rPr>
                <w:rFonts w:ascii="Bookman Old Style" w:hAnsi="Bookman Old Style"/>
                <w:sz w:val="20"/>
                <w:szCs w:val="20"/>
              </w:rPr>
              <w:t>2. Zwietrzeliny i rumosze gliniaste</w:t>
            </w:r>
          </w:p>
          <w:p w14:paraId="6DC69742"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3. Piaski pylaste, piaski gliniaste, pyły piaszczyste</w:t>
            </w:r>
            <w:r w:rsidRPr="00F34B5B">
              <w:rPr>
                <w:rFonts w:ascii="Bookman Old Style" w:hAnsi="Bookman Old Style"/>
                <w:sz w:val="20"/>
                <w:szCs w:val="20"/>
              </w:rPr>
              <w:br/>
              <w:t xml:space="preserve"> i pyły</w:t>
            </w:r>
          </w:p>
        </w:tc>
        <w:tc>
          <w:tcPr>
            <w:tcW w:w="2494" w:type="dxa"/>
          </w:tcPr>
          <w:p w14:paraId="76A5B775"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 xml:space="preserve"> gdy będą wbudowane w miejsca suche lub zabezpieczone od wód gruntowych i powierzchniowych</w:t>
            </w:r>
          </w:p>
        </w:tc>
      </w:tr>
      <w:tr w:rsidR="00A57BFF" w:rsidRPr="00F34B5B" w14:paraId="459FBE15" w14:textId="77777777" w:rsidTr="00E37152">
        <w:tc>
          <w:tcPr>
            <w:tcW w:w="1360" w:type="dxa"/>
            <w:vMerge/>
          </w:tcPr>
          <w:p w14:paraId="071A0355" w14:textId="77777777" w:rsidR="00A57BFF" w:rsidRPr="00F34B5B" w:rsidRDefault="00A57BFF" w:rsidP="00E37152">
            <w:pPr>
              <w:jc w:val="both"/>
              <w:rPr>
                <w:rFonts w:ascii="Bookman Old Style" w:hAnsi="Bookman Old Style"/>
                <w:sz w:val="20"/>
                <w:szCs w:val="20"/>
              </w:rPr>
            </w:pPr>
          </w:p>
        </w:tc>
        <w:tc>
          <w:tcPr>
            <w:tcW w:w="2494" w:type="dxa"/>
            <w:vMerge/>
          </w:tcPr>
          <w:p w14:paraId="0BFE827D" w14:textId="77777777" w:rsidR="00A57BFF" w:rsidRPr="00F34B5B" w:rsidRDefault="00A57BFF" w:rsidP="00E37152">
            <w:pPr>
              <w:jc w:val="both"/>
              <w:rPr>
                <w:rFonts w:ascii="Bookman Old Style" w:hAnsi="Bookman Old Style"/>
                <w:sz w:val="20"/>
                <w:szCs w:val="20"/>
              </w:rPr>
            </w:pPr>
          </w:p>
        </w:tc>
        <w:tc>
          <w:tcPr>
            <w:tcW w:w="2551" w:type="dxa"/>
          </w:tcPr>
          <w:p w14:paraId="3DE0A82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4. Piaski próchniczne, </w:t>
            </w:r>
            <w:r w:rsidRPr="00F34B5B">
              <w:rPr>
                <w:rFonts w:ascii="Bookman Old Style" w:hAnsi="Bookman Old Style"/>
                <w:sz w:val="20"/>
                <w:szCs w:val="20"/>
              </w:rPr>
              <w:br/>
              <w:t>z wyjątkiem pylastych piasków próchnicznych</w:t>
            </w:r>
          </w:p>
          <w:p w14:paraId="6E9F1F6D" w14:textId="77777777" w:rsidR="00A57BFF" w:rsidRPr="00F34B5B" w:rsidRDefault="00A57BFF" w:rsidP="00E37152">
            <w:pPr>
              <w:jc w:val="both"/>
              <w:rPr>
                <w:rFonts w:ascii="Bookman Old Style" w:hAnsi="Bookman Old Style"/>
                <w:sz w:val="20"/>
                <w:szCs w:val="20"/>
              </w:rPr>
            </w:pPr>
          </w:p>
        </w:tc>
        <w:tc>
          <w:tcPr>
            <w:tcW w:w="2494" w:type="dxa"/>
          </w:tcPr>
          <w:p w14:paraId="69859B32"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do nasypów nie wyższych niż 3 m, zabezpieczonych przed zawilgoceniem</w:t>
            </w:r>
          </w:p>
        </w:tc>
      </w:tr>
      <w:tr w:rsidR="00A57BFF" w:rsidRPr="00F34B5B" w14:paraId="6F84CC1D" w14:textId="77777777" w:rsidTr="00E37152">
        <w:tc>
          <w:tcPr>
            <w:tcW w:w="1360" w:type="dxa"/>
            <w:vMerge/>
          </w:tcPr>
          <w:p w14:paraId="1C4BFB35" w14:textId="77777777" w:rsidR="00A57BFF" w:rsidRPr="00F34B5B" w:rsidRDefault="00A57BFF" w:rsidP="00E37152">
            <w:pPr>
              <w:jc w:val="both"/>
              <w:rPr>
                <w:rFonts w:ascii="Bookman Old Style" w:hAnsi="Bookman Old Style"/>
                <w:sz w:val="20"/>
                <w:szCs w:val="20"/>
              </w:rPr>
            </w:pPr>
          </w:p>
        </w:tc>
        <w:tc>
          <w:tcPr>
            <w:tcW w:w="2494" w:type="dxa"/>
            <w:vMerge/>
          </w:tcPr>
          <w:p w14:paraId="29F0CFFC" w14:textId="77777777" w:rsidR="00A57BFF" w:rsidRPr="00F34B5B" w:rsidRDefault="00A57BFF" w:rsidP="00E37152">
            <w:pPr>
              <w:jc w:val="both"/>
              <w:rPr>
                <w:rFonts w:ascii="Bookman Old Style" w:hAnsi="Bookman Old Style"/>
                <w:sz w:val="20"/>
                <w:szCs w:val="20"/>
              </w:rPr>
            </w:pPr>
          </w:p>
        </w:tc>
        <w:tc>
          <w:tcPr>
            <w:tcW w:w="2551" w:type="dxa"/>
          </w:tcPr>
          <w:p w14:paraId="1667C51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5. Gliny piaszczyste, gliny </w:t>
            </w:r>
            <w:r w:rsidRPr="00F34B5B">
              <w:rPr>
                <w:rFonts w:ascii="Bookman Old Style" w:hAnsi="Bookman Old Style"/>
                <w:sz w:val="20"/>
                <w:szCs w:val="20"/>
              </w:rPr>
              <w:br/>
              <w:t xml:space="preserve">i gliny pylaste oraz inne </w:t>
            </w:r>
            <w:r w:rsidRPr="00F34B5B">
              <w:rPr>
                <w:rFonts w:ascii="Bookman Old Style" w:hAnsi="Bookman Old Style"/>
                <w:sz w:val="20"/>
                <w:szCs w:val="20"/>
              </w:rPr>
              <w:br/>
              <w:t>o w</w:t>
            </w:r>
            <w:r w:rsidRPr="00F34B5B">
              <w:rPr>
                <w:rFonts w:ascii="Bookman Old Style" w:hAnsi="Bookman Old Style"/>
                <w:sz w:val="20"/>
                <w:szCs w:val="20"/>
                <w:vertAlign w:val="subscript"/>
              </w:rPr>
              <w:t>L</w:t>
            </w:r>
            <w:r w:rsidRPr="00F34B5B">
              <w:rPr>
                <w:rFonts w:ascii="Bookman Old Style" w:hAnsi="Bookman Old Style"/>
                <w:sz w:val="20"/>
                <w:szCs w:val="20"/>
              </w:rPr>
              <w:t xml:space="preserve"> </w:t>
            </w:r>
            <w:r w:rsidRPr="00F34B5B">
              <w:rPr>
                <w:rFonts w:ascii="Bookman Old Style" w:hAnsi="Bookman Old Style"/>
                <w:sz w:val="20"/>
                <w:szCs w:val="20"/>
              </w:rPr>
              <w:sym w:font="Symbol" w:char="F03C"/>
            </w:r>
            <w:r w:rsidRPr="00F34B5B">
              <w:rPr>
                <w:rFonts w:ascii="Bookman Old Style" w:hAnsi="Bookman Old Style"/>
                <w:sz w:val="20"/>
                <w:szCs w:val="20"/>
              </w:rPr>
              <w:t xml:space="preserve"> 35%</w:t>
            </w:r>
          </w:p>
        </w:tc>
        <w:tc>
          <w:tcPr>
            <w:tcW w:w="2494" w:type="dxa"/>
          </w:tcPr>
          <w:p w14:paraId="26002B2B"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w miejscach suchych lub przejściowo zawilgoconych</w:t>
            </w:r>
          </w:p>
        </w:tc>
      </w:tr>
      <w:tr w:rsidR="00A57BFF" w:rsidRPr="00F34B5B" w14:paraId="03502358" w14:textId="77777777" w:rsidTr="00E37152">
        <w:trPr>
          <w:trHeight w:val="1289"/>
        </w:trPr>
        <w:tc>
          <w:tcPr>
            <w:tcW w:w="1360" w:type="dxa"/>
            <w:vMerge/>
          </w:tcPr>
          <w:p w14:paraId="549756EA" w14:textId="77777777" w:rsidR="00A57BFF" w:rsidRPr="00F34B5B" w:rsidRDefault="00A57BFF" w:rsidP="00E37152">
            <w:pPr>
              <w:jc w:val="both"/>
              <w:rPr>
                <w:rFonts w:ascii="Bookman Old Style" w:hAnsi="Bookman Old Style"/>
                <w:sz w:val="20"/>
                <w:szCs w:val="20"/>
              </w:rPr>
            </w:pPr>
          </w:p>
        </w:tc>
        <w:tc>
          <w:tcPr>
            <w:tcW w:w="2494" w:type="dxa"/>
            <w:vMerge/>
          </w:tcPr>
          <w:p w14:paraId="4CEE3BE1" w14:textId="77777777" w:rsidR="00A57BFF" w:rsidRPr="00F34B5B" w:rsidRDefault="00A57BFF" w:rsidP="00E37152">
            <w:pPr>
              <w:jc w:val="both"/>
              <w:rPr>
                <w:rFonts w:ascii="Bookman Old Style" w:hAnsi="Bookman Old Style"/>
                <w:sz w:val="20"/>
                <w:szCs w:val="20"/>
              </w:rPr>
            </w:pPr>
          </w:p>
        </w:tc>
        <w:tc>
          <w:tcPr>
            <w:tcW w:w="2551" w:type="dxa"/>
          </w:tcPr>
          <w:p w14:paraId="6A7BFDA7" w14:textId="77777777" w:rsidR="00A57BFF" w:rsidRPr="00F34B5B" w:rsidRDefault="00A57BFF" w:rsidP="00E37152">
            <w:pPr>
              <w:pBdr>
                <w:between w:val="single" w:sz="6" w:space="1" w:color="auto"/>
              </w:pBdr>
              <w:rPr>
                <w:rFonts w:ascii="Bookman Old Style" w:hAnsi="Bookman Old Style"/>
                <w:sz w:val="20"/>
                <w:szCs w:val="20"/>
              </w:rPr>
            </w:pPr>
            <w:r w:rsidRPr="00F34B5B">
              <w:rPr>
                <w:rFonts w:ascii="Bookman Old Style" w:hAnsi="Bookman Old Style"/>
                <w:sz w:val="20"/>
                <w:szCs w:val="20"/>
              </w:rPr>
              <w:t>6. Gliny piaszczyste zwięzłe, gliny zwięzłe</w:t>
            </w:r>
            <w:r w:rsidRPr="00F34B5B">
              <w:rPr>
                <w:rFonts w:ascii="Bookman Old Style" w:hAnsi="Bookman Old Style"/>
                <w:sz w:val="20"/>
                <w:szCs w:val="20"/>
              </w:rPr>
              <w:br/>
              <w:t xml:space="preserve"> i gliny pylaste zwięzłe       oraz inne grunty o granicy płynności w</w:t>
            </w:r>
            <w:r w:rsidRPr="00F34B5B">
              <w:rPr>
                <w:rFonts w:ascii="Bookman Old Style" w:hAnsi="Bookman Old Style"/>
                <w:sz w:val="20"/>
                <w:szCs w:val="20"/>
                <w:vertAlign w:val="subscript"/>
              </w:rPr>
              <w:t>L</w:t>
            </w:r>
            <w:r w:rsidRPr="00F34B5B">
              <w:rPr>
                <w:rFonts w:ascii="Bookman Old Style" w:hAnsi="Bookman Old Style"/>
                <w:sz w:val="20"/>
                <w:szCs w:val="20"/>
              </w:rPr>
              <w:t xml:space="preserve"> od 35 do 60%</w:t>
            </w:r>
          </w:p>
        </w:tc>
        <w:tc>
          <w:tcPr>
            <w:tcW w:w="2494" w:type="dxa"/>
          </w:tcPr>
          <w:p w14:paraId="31BEE47B"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do nasypów nie wyższych niż 3 m: zabezpieczonych przed zawilgoceniem lub po ulepszeniu spoiwami</w:t>
            </w:r>
          </w:p>
        </w:tc>
      </w:tr>
      <w:tr w:rsidR="00A57BFF" w:rsidRPr="00F34B5B" w14:paraId="64580D81" w14:textId="77777777" w:rsidTr="00E37152">
        <w:trPr>
          <w:trHeight w:val="1265"/>
        </w:trPr>
        <w:tc>
          <w:tcPr>
            <w:tcW w:w="1360" w:type="dxa"/>
            <w:vMerge/>
          </w:tcPr>
          <w:p w14:paraId="3468A695" w14:textId="77777777" w:rsidR="00A57BFF" w:rsidRPr="00F34B5B" w:rsidRDefault="00A57BFF" w:rsidP="00E37152">
            <w:pPr>
              <w:jc w:val="both"/>
              <w:rPr>
                <w:rFonts w:ascii="Bookman Old Style" w:hAnsi="Bookman Old Style"/>
                <w:sz w:val="20"/>
                <w:szCs w:val="20"/>
              </w:rPr>
            </w:pPr>
          </w:p>
        </w:tc>
        <w:tc>
          <w:tcPr>
            <w:tcW w:w="2494" w:type="dxa"/>
            <w:vMerge/>
          </w:tcPr>
          <w:p w14:paraId="2DCB8424" w14:textId="77777777" w:rsidR="00A57BFF" w:rsidRPr="00F34B5B" w:rsidRDefault="00A57BFF" w:rsidP="00E37152">
            <w:pPr>
              <w:jc w:val="both"/>
              <w:rPr>
                <w:rFonts w:ascii="Bookman Old Style" w:hAnsi="Bookman Old Style"/>
                <w:sz w:val="20"/>
                <w:szCs w:val="20"/>
              </w:rPr>
            </w:pPr>
          </w:p>
        </w:tc>
        <w:tc>
          <w:tcPr>
            <w:tcW w:w="2551" w:type="dxa"/>
          </w:tcPr>
          <w:p w14:paraId="739913AB"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7. Wysiewki kamienne gliniaste o zawartości frakcji iłowej ponad 2%</w:t>
            </w:r>
          </w:p>
          <w:p w14:paraId="529488F9" w14:textId="77777777" w:rsidR="00A57BFF" w:rsidRPr="00F34B5B" w:rsidRDefault="00A57BFF" w:rsidP="00E37152">
            <w:pPr>
              <w:jc w:val="both"/>
              <w:rPr>
                <w:rFonts w:ascii="Bookman Old Style" w:hAnsi="Bookman Old Style"/>
                <w:sz w:val="20"/>
                <w:szCs w:val="20"/>
              </w:rPr>
            </w:pPr>
          </w:p>
        </w:tc>
        <w:tc>
          <w:tcPr>
            <w:tcW w:w="2494" w:type="dxa"/>
          </w:tcPr>
          <w:p w14:paraId="27578A0E"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gdy zwierciadło wody gruntowej znajduje się na głębokości większej    od kapilarności biernej gruntu podłoża</w:t>
            </w:r>
          </w:p>
        </w:tc>
      </w:tr>
      <w:tr w:rsidR="00A57BFF" w:rsidRPr="00F34B5B" w14:paraId="58CF80AD" w14:textId="77777777" w:rsidTr="00E37152">
        <w:tc>
          <w:tcPr>
            <w:tcW w:w="1360" w:type="dxa"/>
            <w:vMerge/>
          </w:tcPr>
          <w:p w14:paraId="210B0693" w14:textId="77777777" w:rsidR="00A57BFF" w:rsidRPr="00F34B5B" w:rsidRDefault="00A57BFF" w:rsidP="00E37152">
            <w:pPr>
              <w:jc w:val="both"/>
              <w:rPr>
                <w:rFonts w:ascii="Bookman Old Style" w:hAnsi="Bookman Old Style"/>
                <w:sz w:val="20"/>
                <w:szCs w:val="20"/>
              </w:rPr>
            </w:pPr>
          </w:p>
        </w:tc>
        <w:tc>
          <w:tcPr>
            <w:tcW w:w="2494" w:type="dxa"/>
            <w:vMerge/>
          </w:tcPr>
          <w:p w14:paraId="3F0800C8" w14:textId="77777777" w:rsidR="00A57BFF" w:rsidRPr="00F34B5B" w:rsidRDefault="00A57BFF" w:rsidP="00E37152">
            <w:pPr>
              <w:jc w:val="both"/>
              <w:rPr>
                <w:rFonts w:ascii="Bookman Old Style" w:hAnsi="Bookman Old Style"/>
                <w:sz w:val="20"/>
                <w:szCs w:val="20"/>
              </w:rPr>
            </w:pPr>
          </w:p>
        </w:tc>
        <w:tc>
          <w:tcPr>
            <w:tcW w:w="2551" w:type="dxa"/>
          </w:tcPr>
          <w:p w14:paraId="3112C828"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8. Żużle wielkopiecowe</w:t>
            </w:r>
            <w:r w:rsidRPr="00F34B5B">
              <w:rPr>
                <w:rFonts w:ascii="Bookman Old Style" w:hAnsi="Bookman Old Style"/>
                <w:sz w:val="20"/>
                <w:szCs w:val="20"/>
              </w:rPr>
              <w:br/>
              <w:t xml:space="preserve"> i inne metalurgiczne </w:t>
            </w:r>
            <w:r w:rsidRPr="00F34B5B">
              <w:rPr>
                <w:rFonts w:ascii="Bookman Old Style" w:hAnsi="Bookman Old Style"/>
                <w:sz w:val="20"/>
                <w:szCs w:val="20"/>
              </w:rPr>
              <w:br/>
              <w:t>z nowego studzenia</w:t>
            </w:r>
            <w:r w:rsidRPr="00F34B5B">
              <w:rPr>
                <w:rFonts w:ascii="Bookman Old Style" w:hAnsi="Bookman Old Style"/>
                <w:sz w:val="20"/>
                <w:szCs w:val="20"/>
              </w:rPr>
              <w:br/>
              <w:t>(do 5 lat)</w:t>
            </w:r>
          </w:p>
        </w:tc>
        <w:tc>
          <w:tcPr>
            <w:tcW w:w="2494" w:type="dxa"/>
          </w:tcPr>
          <w:p w14:paraId="389575A8"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 xml:space="preserve">o ograniczonej podatności na rozpad - łączne straty masy </w:t>
            </w:r>
            <w:r w:rsidRPr="00F34B5B">
              <w:rPr>
                <w:rFonts w:ascii="Bookman Old Style" w:hAnsi="Bookman Old Style"/>
                <w:sz w:val="20"/>
                <w:szCs w:val="20"/>
              </w:rPr>
              <w:br/>
              <w:t>do 5%</w:t>
            </w:r>
          </w:p>
        </w:tc>
      </w:tr>
      <w:tr w:rsidR="00A57BFF" w:rsidRPr="00F34B5B" w14:paraId="4F7D6B6F" w14:textId="77777777" w:rsidTr="00E37152">
        <w:trPr>
          <w:trHeight w:val="381"/>
        </w:trPr>
        <w:tc>
          <w:tcPr>
            <w:tcW w:w="1360" w:type="dxa"/>
            <w:vMerge/>
          </w:tcPr>
          <w:p w14:paraId="2B88541A" w14:textId="77777777" w:rsidR="00A57BFF" w:rsidRPr="00F34B5B" w:rsidRDefault="00A57BFF" w:rsidP="00E37152">
            <w:pPr>
              <w:jc w:val="both"/>
              <w:rPr>
                <w:rFonts w:ascii="Bookman Old Style" w:hAnsi="Bookman Old Style"/>
                <w:sz w:val="20"/>
                <w:szCs w:val="20"/>
              </w:rPr>
            </w:pPr>
          </w:p>
        </w:tc>
        <w:tc>
          <w:tcPr>
            <w:tcW w:w="2494" w:type="dxa"/>
            <w:vMerge/>
          </w:tcPr>
          <w:p w14:paraId="280F2876" w14:textId="77777777" w:rsidR="00A57BFF" w:rsidRPr="00F34B5B" w:rsidRDefault="00A57BFF" w:rsidP="00E37152">
            <w:pPr>
              <w:jc w:val="both"/>
              <w:rPr>
                <w:rFonts w:ascii="Bookman Old Style" w:hAnsi="Bookman Old Style"/>
                <w:sz w:val="20"/>
                <w:szCs w:val="20"/>
              </w:rPr>
            </w:pPr>
          </w:p>
        </w:tc>
        <w:tc>
          <w:tcPr>
            <w:tcW w:w="2551" w:type="dxa"/>
          </w:tcPr>
          <w:p w14:paraId="6890077D" w14:textId="77777777" w:rsidR="00A57BFF" w:rsidRPr="00F34B5B" w:rsidRDefault="00A57BFF" w:rsidP="00E37152">
            <w:pPr>
              <w:pBdr>
                <w:top w:val="single" w:sz="6" w:space="1" w:color="auto"/>
              </w:pBdr>
              <w:rPr>
                <w:rFonts w:ascii="Bookman Old Style" w:hAnsi="Bookman Old Style"/>
                <w:sz w:val="20"/>
                <w:szCs w:val="20"/>
              </w:rPr>
            </w:pPr>
            <w:r w:rsidRPr="00F34B5B">
              <w:rPr>
                <w:rFonts w:ascii="Bookman Old Style" w:hAnsi="Bookman Old Style"/>
                <w:sz w:val="20"/>
                <w:szCs w:val="20"/>
              </w:rPr>
              <w:t xml:space="preserve">9. Popioły lotne </w:t>
            </w:r>
            <w:r w:rsidRPr="00F34B5B">
              <w:rPr>
                <w:rFonts w:ascii="Bookman Old Style" w:hAnsi="Bookman Old Style"/>
                <w:sz w:val="20"/>
                <w:szCs w:val="20"/>
              </w:rPr>
              <w:br/>
              <w:t>i mieszaniny popiołowo-żużlowe</w:t>
            </w:r>
          </w:p>
        </w:tc>
        <w:tc>
          <w:tcPr>
            <w:tcW w:w="2494" w:type="dxa"/>
          </w:tcPr>
          <w:p w14:paraId="787C3154"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gdy zalegają w miejscach suchych lub są izolowane od wody</w:t>
            </w:r>
          </w:p>
        </w:tc>
      </w:tr>
      <w:tr w:rsidR="00A57BFF" w:rsidRPr="00F34B5B" w14:paraId="0E7736E4" w14:textId="77777777" w:rsidTr="00E37152">
        <w:trPr>
          <w:trHeight w:val="113"/>
        </w:trPr>
        <w:tc>
          <w:tcPr>
            <w:tcW w:w="1360" w:type="dxa"/>
            <w:vAlign w:val="center"/>
          </w:tcPr>
          <w:p w14:paraId="198F6E59"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Przeznaczenie</w:t>
            </w:r>
          </w:p>
        </w:tc>
        <w:tc>
          <w:tcPr>
            <w:tcW w:w="2494" w:type="dxa"/>
            <w:vAlign w:val="center"/>
          </w:tcPr>
          <w:p w14:paraId="2E890AD3"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Przydatne</w:t>
            </w:r>
          </w:p>
        </w:tc>
        <w:tc>
          <w:tcPr>
            <w:tcW w:w="2551" w:type="dxa"/>
            <w:vAlign w:val="center"/>
          </w:tcPr>
          <w:p w14:paraId="5A7106DC"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Przydatne</w:t>
            </w:r>
          </w:p>
          <w:p w14:paraId="3D210754"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z zastrzeżeniami</w:t>
            </w:r>
          </w:p>
        </w:tc>
        <w:tc>
          <w:tcPr>
            <w:tcW w:w="2494" w:type="dxa"/>
            <w:vAlign w:val="center"/>
          </w:tcPr>
          <w:p w14:paraId="37230073"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Treść</w:t>
            </w:r>
          </w:p>
          <w:p w14:paraId="54D51AEF" w14:textId="77777777" w:rsidR="00A57BFF" w:rsidRPr="00F34B5B" w:rsidRDefault="00A57BFF" w:rsidP="00E37152">
            <w:pPr>
              <w:jc w:val="center"/>
              <w:rPr>
                <w:rFonts w:ascii="Bookman Old Style" w:hAnsi="Bookman Old Style"/>
                <w:b/>
                <w:sz w:val="20"/>
                <w:szCs w:val="20"/>
              </w:rPr>
            </w:pPr>
            <w:r w:rsidRPr="00F34B5B">
              <w:rPr>
                <w:rFonts w:ascii="Bookman Old Style" w:hAnsi="Bookman Old Style"/>
                <w:b/>
                <w:sz w:val="20"/>
                <w:szCs w:val="20"/>
              </w:rPr>
              <w:t>zastrzeżenia</w:t>
            </w:r>
          </w:p>
        </w:tc>
      </w:tr>
      <w:tr w:rsidR="00A57BFF" w:rsidRPr="00F34B5B" w14:paraId="0F243AFC" w14:textId="77777777" w:rsidTr="00E37152">
        <w:tc>
          <w:tcPr>
            <w:tcW w:w="1360" w:type="dxa"/>
            <w:vMerge w:val="restart"/>
            <w:vAlign w:val="center"/>
          </w:tcPr>
          <w:p w14:paraId="0E818A2B" w14:textId="77777777" w:rsidR="00A57BFF" w:rsidRPr="00F34B5B" w:rsidRDefault="00A57BFF" w:rsidP="00E37152">
            <w:pPr>
              <w:rPr>
                <w:rFonts w:ascii="Bookman Old Style" w:hAnsi="Bookman Old Style"/>
                <w:sz w:val="20"/>
                <w:szCs w:val="20"/>
              </w:rPr>
            </w:pPr>
          </w:p>
          <w:p w14:paraId="1A9E5616"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Na górne warstwy </w:t>
            </w:r>
          </w:p>
          <w:p w14:paraId="475941E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nasypów </w:t>
            </w:r>
            <w:r w:rsidRPr="00F34B5B">
              <w:rPr>
                <w:rFonts w:ascii="Bookman Old Style" w:hAnsi="Bookman Old Style"/>
                <w:sz w:val="20"/>
                <w:szCs w:val="20"/>
              </w:rPr>
              <w:br/>
              <w:t>w strefie przemarzania</w:t>
            </w:r>
          </w:p>
        </w:tc>
        <w:tc>
          <w:tcPr>
            <w:tcW w:w="2494" w:type="dxa"/>
            <w:vMerge w:val="restart"/>
          </w:tcPr>
          <w:p w14:paraId="46418EA3"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1. Żwiry i pospółki</w:t>
            </w:r>
          </w:p>
          <w:p w14:paraId="5C09CFA4"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2. Piaski grubo- </w:t>
            </w:r>
          </w:p>
          <w:p w14:paraId="7F6FAAE7"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i średnioziarniste</w:t>
            </w:r>
          </w:p>
          <w:p w14:paraId="79FC686F"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3. Iłołupki przywęglowe przepalone zawierające mniej niż 15% ziarn mniejszych od 0,075 mm</w:t>
            </w:r>
          </w:p>
          <w:p w14:paraId="633F68BA"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4. Wysiewki kamienne</w:t>
            </w:r>
            <w:r w:rsidRPr="00F34B5B">
              <w:rPr>
                <w:rFonts w:ascii="Bookman Old Style" w:hAnsi="Bookman Old Style"/>
                <w:sz w:val="20"/>
                <w:szCs w:val="20"/>
              </w:rPr>
              <w:br/>
              <w:t xml:space="preserve"> o uziarnieniu </w:t>
            </w:r>
            <w:r w:rsidRPr="00F34B5B">
              <w:rPr>
                <w:rFonts w:ascii="Bookman Old Style" w:hAnsi="Bookman Old Style"/>
                <w:sz w:val="20"/>
                <w:szCs w:val="20"/>
              </w:rPr>
              <w:br/>
              <w:t>odpowiadającym pospółkom lub żwirom</w:t>
            </w:r>
          </w:p>
        </w:tc>
        <w:tc>
          <w:tcPr>
            <w:tcW w:w="2551" w:type="dxa"/>
          </w:tcPr>
          <w:p w14:paraId="12A191E6"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1. Żwiry i pospółki gliniaste</w:t>
            </w:r>
          </w:p>
          <w:p w14:paraId="5B66CE5D"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2. Piaski pylaste i gliniaste</w:t>
            </w:r>
          </w:p>
          <w:p w14:paraId="1207AD44"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3. Pyły piaszczyste i pyły</w:t>
            </w:r>
          </w:p>
          <w:p w14:paraId="4B8EB742"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4. Gliny o granicy płynności mniejszej niż 35%</w:t>
            </w:r>
          </w:p>
          <w:p w14:paraId="3D19499A"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5. Mieszaniny popiołowo-żużlowe z węgla kamiennego</w:t>
            </w:r>
          </w:p>
          <w:p w14:paraId="0E295EA2"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6. Wysiewki kamienne gliniaste o zawartości frakcji iłowej </w:t>
            </w:r>
            <w:r w:rsidRPr="00F34B5B">
              <w:rPr>
                <w:rFonts w:ascii="Bookman Old Style" w:hAnsi="Bookman Old Style"/>
                <w:sz w:val="20"/>
                <w:szCs w:val="20"/>
              </w:rPr>
              <w:sym w:font="Symbol" w:char="F03E"/>
            </w:r>
            <w:r w:rsidRPr="00F34B5B">
              <w:rPr>
                <w:rFonts w:ascii="Bookman Old Style" w:hAnsi="Bookman Old Style"/>
                <w:sz w:val="20"/>
                <w:szCs w:val="20"/>
              </w:rPr>
              <w:t>2%</w:t>
            </w:r>
          </w:p>
        </w:tc>
        <w:tc>
          <w:tcPr>
            <w:tcW w:w="2494" w:type="dxa"/>
          </w:tcPr>
          <w:p w14:paraId="64201D7A"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pod warunkiem ulepszenia tych gruntów spoiwami, takimi jak: cement, wapno, aktywne popioły itp.</w:t>
            </w:r>
          </w:p>
          <w:p w14:paraId="3F17CD1A" w14:textId="77777777" w:rsidR="00A57BFF" w:rsidRPr="00F34B5B" w:rsidRDefault="00A57BFF" w:rsidP="00E37152">
            <w:pPr>
              <w:jc w:val="both"/>
              <w:rPr>
                <w:rFonts w:ascii="Bookman Old Style" w:hAnsi="Bookman Old Style"/>
                <w:sz w:val="20"/>
                <w:szCs w:val="20"/>
              </w:rPr>
            </w:pPr>
          </w:p>
        </w:tc>
      </w:tr>
      <w:tr w:rsidR="00A57BFF" w:rsidRPr="00F34B5B" w14:paraId="627F7F1B" w14:textId="77777777" w:rsidTr="00E37152">
        <w:tc>
          <w:tcPr>
            <w:tcW w:w="1360" w:type="dxa"/>
            <w:vMerge/>
          </w:tcPr>
          <w:p w14:paraId="7BF79588" w14:textId="77777777" w:rsidR="00A57BFF" w:rsidRPr="00F34B5B" w:rsidRDefault="00A57BFF" w:rsidP="00E37152">
            <w:pPr>
              <w:jc w:val="both"/>
              <w:rPr>
                <w:rFonts w:ascii="Bookman Old Style" w:hAnsi="Bookman Old Style"/>
                <w:sz w:val="20"/>
                <w:szCs w:val="20"/>
              </w:rPr>
            </w:pPr>
          </w:p>
        </w:tc>
        <w:tc>
          <w:tcPr>
            <w:tcW w:w="2494" w:type="dxa"/>
            <w:vMerge/>
          </w:tcPr>
          <w:p w14:paraId="64308741" w14:textId="77777777" w:rsidR="00A57BFF" w:rsidRPr="00F34B5B" w:rsidRDefault="00A57BFF" w:rsidP="00E37152">
            <w:pPr>
              <w:jc w:val="both"/>
              <w:rPr>
                <w:rFonts w:ascii="Bookman Old Style" w:hAnsi="Bookman Old Style"/>
                <w:sz w:val="20"/>
                <w:szCs w:val="20"/>
              </w:rPr>
            </w:pPr>
          </w:p>
        </w:tc>
        <w:tc>
          <w:tcPr>
            <w:tcW w:w="2551" w:type="dxa"/>
          </w:tcPr>
          <w:p w14:paraId="34C1A467"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7. Żużle wielkopiecowe </w:t>
            </w:r>
            <w:r w:rsidRPr="00F34B5B">
              <w:rPr>
                <w:rFonts w:ascii="Bookman Old Style" w:hAnsi="Bookman Old Style"/>
                <w:sz w:val="20"/>
                <w:szCs w:val="20"/>
              </w:rPr>
              <w:br/>
              <w:t>i inne metalurgiczne</w:t>
            </w:r>
          </w:p>
        </w:tc>
        <w:tc>
          <w:tcPr>
            <w:tcW w:w="2494" w:type="dxa"/>
          </w:tcPr>
          <w:p w14:paraId="03CCCA74" w14:textId="77777777" w:rsidR="00A57BFF" w:rsidRPr="00F34B5B" w:rsidRDefault="00A57BFF" w:rsidP="00E37152">
            <w:pPr>
              <w:pStyle w:val="Akapitzlist"/>
              <w:numPr>
                <w:ilvl w:val="0"/>
                <w:numId w:val="8"/>
              </w:numPr>
              <w:pBdr>
                <w:top w:val="single" w:sz="6" w:space="1" w:color="auto"/>
              </w:pBdr>
              <w:ind w:left="130" w:hanging="130"/>
              <w:rPr>
                <w:rFonts w:ascii="Bookman Old Style" w:hAnsi="Bookman Old Style"/>
                <w:sz w:val="20"/>
                <w:szCs w:val="20"/>
              </w:rPr>
            </w:pPr>
            <w:r w:rsidRPr="00F34B5B">
              <w:rPr>
                <w:rFonts w:ascii="Bookman Old Style" w:hAnsi="Bookman Old Style"/>
                <w:sz w:val="20"/>
                <w:szCs w:val="20"/>
              </w:rPr>
              <w:t xml:space="preserve">drobnoziarniste </w:t>
            </w:r>
            <w:r w:rsidRPr="00F34B5B">
              <w:rPr>
                <w:rFonts w:ascii="Bookman Old Style" w:hAnsi="Bookman Old Style"/>
                <w:sz w:val="20"/>
                <w:szCs w:val="20"/>
              </w:rPr>
              <w:br/>
              <w:t>i nierozpadowe: straty masy do 1%</w:t>
            </w:r>
          </w:p>
        </w:tc>
      </w:tr>
      <w:tr w:rsidR="00A57BFF" w:rsidRPr="00F34B5B" w14:paraId="5C8BDCEC" w14:textId="77777777" w:rsidTr="00E37152">
        <w:tc>
          <w:tcPr>
            <w:tcW w:w="1360" w:type="dxa"/>
            <w:vMerge/>
          </w:tcPr>
          <w:p w14:paraId="503C2D23" w14:textId="77777777" w:rsidR="00A57BFF" w:rsidRPr="00F34B5B" w:rsidRDefault="00A57BFF" w:rsidP="00E37152">
            <w:pPr>
              <w:jc w:val="both"/>
              <w:rPr>
                <w:rFonts w:ascii="Bookman Old Style" w:hAnsi="Bookman Old Style"/>
                <w:sz w:val="20"/>
                <w:szCs w:val="20"/>
              </w:rPr>
            </w:pPr>
          </w:p>
        </w:tc>
        <w:tc>
          <w:tcPr>
            <w:tcW w:w="2494" w:type="dxa"/>
            <w:vMerge/>
          </w:tcPr>
          <w:p w14:paraId="2F9C7AFF" w14:textId="77777777" w:rsidR="00A57BFF" w:rsidRPr="00F34B5B" w:rsidRDefault="00A57BFF" w:rsidP="00E37152">
            <w:pPr>
              <w:jc w:val="both"/>
              <w:rPr>
                <w:rFonts w:ascii="Bookman Old Style" w:hAnsi="Bookman Old Style"/>
                <w:sz w:val="20"/>
                <w:szCs w:val="20"/>
              </w:rPr>
            </w:pPr>
          </w:p>
        </w:tc>
        <w:tc>
          <w:tcPr>
            <w:tcW w:w="2551" w:type="dxa"/>
          </w:tcPr>
          <w:p w14:paraId="212755F7" w14:textId="77777777" w:rsidR="00A57BFF" w:rsidRPr="00F34B5B" w:rsidRDefault="00A57BFF" w:rsidP="00F72AB8">
            <w:pPr>
              <w:rPr>
                <w:rFonts w:ascii="Bookman Old Style" w:hAnsi="Bookman Old Style"/>
                <w:sz w:val="20"/>
                <w:szCs w:val="20"/>
              </w:rPr>
            </w:pPr>
            <w:r w:rsidRPr="00F34B5B">
              <w:rPr>
                <w:rFonts w:ascii="Bookman Old Style" w:hAnsi="Bookman Old Style"/>
                <w:sz w:val="20"/>
                <w:szCs w:val="20"/>
              </w:rPr>
              <w:t>8. Piaski drobnoziarniste</w:t>
            </w:r>
          </w:p>
        </w:tc>
        <w:tc>
          <w:tcPr>
            <w:tcW w:w="2494" w:type="dxa"/>
          </w:tcPr>
          <w:p w14:paraId="7D19A996"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o wskaźniku nośności w</w:t>
            </w:r>
            <w:r w:rsidRPr="00F34B5B">
              <w:rPr>
                <w:rFonts w:ascii="Bookman Old Style" w:hAnsi="Bookman Old Style"/>
                <w:sz w:val="20"/>
                <w:szCs w:val="20"/>
                <w:vertAlign w:val="subscript"/>
              </w:rPr>
              <w:t>noś</w:t>
            </w:r>
            <w:r w:rsidRPr="00F34B5B">
              <w:rPr>
                <w:rFonts w:ascii="Bookman Old Style" w:hAnsi="Bookman Old Style"/>
                <w:sz w:val="20"/>
                <w:szCs w:val="20"/>
              </w:rPr>
              <w:sym w:font="Symbol" w:char="F0B3"/>
            </w:r>
            <w:r w:rsidRPr="00F34B5B">
              <w:rPr>
                <w:rFonts w:ascii="Bookman Old Style" w:hAnsi="Bookman Old Style"/>
                <w:sz w:val="20"/>
                <w:szCs w:val="20"/>
              </w:rPr>
              <w:t>10</w:t>
            </w:r>
          </w:p>
        </w:tc>
      </w:tr>
      <w:tr w:rsidR="00A57BFF" w:rsidRPr="00F34B5B" w14:paraId="6780FCE7" w14:textId="77777777" w:rsidTr="00E37152">
        <w:tc>
          <w:tcPr>
            <w:tcW w:w="1360" w:type="dxa"/>
          </w:tcPr>
          <w:p w14:paraId="7CA72644"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W wykopach </w:t>
            </w:r>
          </w:p>
          <w:p w14:paraId="33740B6B"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i miejscach zerowych do głębokości przemarzania</w:t>
            </w:r>
          </w:p>
        </w:tc>
        <w:tc>
          <w:tcPr>
            <w:tcW w:w="2494" w:type="dxa"/>
          </w:tcPr>
          <w:p w14:paraId="05E6E682"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Grunty niewysadzinowe</w:t>
            </w:r>
          </w:p>
          <w:p w14:paraId="0625CC84" w14:textId="77777777" w:rsidR="00A57BFF" w:rsidRPr="00F34B5B" w:rsidRDefault="00A57BFF" w:rsidP="00E37152">
            <w:pPr>
              <w:rPr>
                <w:rFonts w:ascii="Bookman Old Style" w:hAnsi="Bookman Old Style"/>
                <w:sz w:val="20"/>
                <w:szCs w:val="20"/>
              </w:rPr>
            </w:pPr>
          </w:p>
          <w:p w14:paraId="73239BC6" w14:textId="77777777" w:rsidR="00A57BFF" w:rsidRPr="00F34B5B" w:rsidRDefault="00A57BFF" w:rsidP="00E37152">
            <w:pPr>
              <w:jc w:val="center"/>
              <w:rPr>
                <w:rFonts w:ascii="Bookman Old Style" w:hAnsi="Bookman Old Style"/>
                <w:sz w:val="20"/>
                <w:szCs w:val="20"/>
              </w:rPr>
            </w:pPr>
          </w:p>
        </w:tc>
        <w:tc>
          <w:tcPr>
            <w:tcW w:w="2551" w:type="dxa"/>
          </w:tcPr>
          <w:p w14:paraId="381BE122" w14:textId="77777777" w:rsidR="00A57BFF" w:rsidRPr="00F34B5B" w:rsidRDefault="00A57BFF" w:rsidP="00E37152">
            <w:pPr>
              <w:rPr>
                <w:rFonts w:ascii="Bookman Old Style" w:hAnsi="Bookman Old Style"/>
                <w:sz w:val="20"/>
                <w:szCs w:val="20"/>
              </w:rPr>
            </w:pPr>
            <w:r w:rsidRPr="00F34B5B">
              <w:rPr>
                <w:rFonts w:ascii="Bookman Old Style" w:hAnsi="Bookman Old Style"/>
                <w:sz w:val="20"/>
                <w:szCs w:val="20"/>
              </w:rPr>
              <w:t xml:space="preserve">Grunty wątpliwe </w:t>
            </w:r>
            <w:r w:rsidRPr="00F34B5B">
              <w:rPr>
                <w:rFonts w:ascii="Bookman Old Style" w:hAnsi="Bookman Old Style"/>
                <w:sz w:val="20"/>
                <w:szCs w:val="20"/>
              </w:rPr>
              <w:br/>
              <w:t>i wysadzinowe</w:t>
            </w:r>
          </w:p>
        </w:tc>
        <w:tc>
          <w:tcPr>
            <w:tcW w:w="2494" w:type="dxa"/>
          </w:tcPr>
          <w:p w14:paraId="2098A5E7" w14:textId="77777777" w:rsidR="00A57BFF" w:rsidRPr="00F34B5B" w:rsidRDefault="00A57BFF" w:rsidP="00E37152">
            <w:pPr>
              <w:pStyle w:val="Akapitzlist"/>
              <w:numPr>
                <w:ilvl w:val="0"/>
                <w:numId w:val="8"/>
              </w:numPr>
              <w:ind w:left="130" w:hanging="130"/>
              <w:rPr>
                <w:rFonts w:ascii="Bookman Old Style" w:hAnsi="Bookman Old Style"/>
                <w:sz w:val="20"/>
                <w:szCs w:val="20"/>
              </w:rPr>
            </w:pPr>
            <w:r w:rsidRPr="00F34B5B">
              <w:rPr>
                <w:rFonts w:ascii="Bookman Old Style" w:hAnsi="Bookman Old Style"/>
                <w:sz w:val="20"/>
                <w:szCs w:val="20"/>
              </w:rPr>
              <w:t>gdy są ulepszane spoiwami (cementem, wapnem, aktywnymi popiołami itp.)</w:t>
            </w:r>
          </w:p>
          <w:p w14:paraId="1B214C83" w14:textId="77777777" w:rsidR="00A57BFF" w:rsidRPr="00F34B5B" w:rsidRDefault="00A57BFF" w:rsidP="00E37152">
            <w:pPr>
              <w:rPr>
                <w:rFonts w:ascii="Bookman Old Style" w:hAnsi="Bookman Old Style"/>
                <w:sz w:val="20"/>
                <w:szCs w:val="20"/>
              </w:rPr>
            </w:pPr>
          </w:p>
        </w:tc>
      </w:tr>
    </w:tbl>
    <w:p w14:paraId="5A73166A" w14:textId="77777777" w:rsidR="00A57BFF" w:rsidRPr="00F34B5B" w:rsidRDefault="00A57BFF" w:rsidP="00A57BFF">
      <w:pPr>
        <w:pStyle w:val="Tekstpodstawowy2"/>
        <w:spacing w:before="240" w:line="240" w:lineRule="auto"/>
        <w:jc w:val="both"/>
        <w:rPr>
          <w:rFonts w:ascii="Bookman Old Style" w:hAnsi="Bookman Old Style"/>
          <w:b/>
          <w:sz w:val="20"/>
          <w:lang w:val="pl-PL"/>
        </w:rPr>
      </w:pPr>
      <w:r w:rsidRPr="00F34B5B">
        <w:rPr>
          <w:rFonts w:ascii="Bookman Old Style" w:hAnsi="Bookman Old Style"/>
          <w:b/>
          <w:sz w:val="20"/>
          <w:lang w:val="pl-PL"/>
        </w:rPr>
        <w:t>3. SPRZĘT</w:t>
      </w:r>
    </w:p>
    <w:p w14:paraId="0C2FBAF3" w14:textId="77777777" w:rsidR="00A57BFF" w:rsidRPr="00F34B5B" w:rsidRDefault="00A57BFF" w:rsidP="00A57BFF">
      <w:pPr>
        <w:jc w:val="both"/>
        <w:rPr>
          <w:rFonts w:ascii="Bookman Old Style" w:hAnsi="Bookman Old Style"/>
          <w:b/>
          <w:sz w:val="20"/>
          <w:u w:val="single"/>
        </w:rPr>
      </w:pPr>
      <w:r w:rsidRPr="00F34B5B">
        <w:rPr>
          <w:rFonts w:ascii="Bookman Old Style" w:hAnsi="Bookman Old Style"/>
          <w:b/>
          <w:sz w:val="20"/>
          <w:u w:val="single"/>
        </w:rPr>
        <w:t>3.1. Wymagania ogólne dotyczące sprzętu</w:t>
      </w:r>
    </w:p>
    <w:p w14:paraId="1E23B8F9" w14:textId="7D739AD8" w:rsidR="00A57BFF" w:rsidRPr="00F34B5B" w:rsidRDefault="00A57BFF" w:rsidP="00A57BFF">
      <w:pPr>
        <w:jc w:val="both"/>
        <w:rPr>
          <w:rFonts w:ascii="Bookman Old Style" w:hAnsi="Bookman Old Style"/>
          <w:sz w:val="20"/>
        </w:rPr>
      </w:pPr>
      <w:r w:rsidRPr="00F34B5B">
        <w:rPr>
          <w:rFonts w:ascii="Bookman Old Style" w:hAnsi="Bookman Old Style"/>
          <w:sz w:val="20"/>
        </w:rPr>
        <w:t xml:space="preserve">Wymagania ogólne dotyczące sprzętu podano w STWiORB </w:t>
      </w:r>
      <w:r w:rsidR="00D63CE9" w:rsidRPr="00F34B5B">
        <w:rPr>
          <w:rFonts w:ascii="Bookman Old Style" w:hAnsi="Bookman Old Style"/>
          <w:sz w:val="20"/>
        </w:rPr>
        <w:t xml:space="preserve">D-00.00.00. </w:t>
      </w:r>
      <w:r w:rsidRPr="00F34B5B">
        <w:rPr>
          <w:rFonts w:ascii="Bookman Old Style" w:hAnsi="Bookman Old Style"/>
          <w:sz w:val="20"/>
        </w:rPr>
        <w:t>pkt. 3.</w:t>
      </w:r>
    </w:p>
    <w:p w14:paraId="5B7BE0E0" w14:textId="77777777" w:rsidR="00A57BFF" w:rsidRPr="00F34B5B" w:rsidRDefault="00A57BFF" w:rsidP="00A57BFF">
      <w:pPr>
        <w:pStyle w:val="StandardowytekstZnak"/>
        <w:rPr>
          <w:rFonts w:ascii="Bookman Old Style" w:hAnsi="Bookman Old Style"/>
          <w:b/>
          <w:u w:val="single"/>
        </w:rPr>
      </w:pPr>
      <w:bookmarkStart w:id="8" w:name="_Toc406295859"/>
      <w:bookmarkStart w:id="9" w:name="_Toc407161279"/>
      <w:r w:rsidRPr="00F34B5B">
        <w:rPr>
          <w:rFonts w:ascii="Bookman Old Style" w:hAnsi="Bookman Old Style"/>
          <w:b/>
          <w:u w:val="single"/>
        </w:rPr>
        <w:t>3.2. Dobór sprzętu zagęszczającego</w:t>
      </w:r>
      <w:bookmarkEnd w:id="8"/>
      <w:bookmarkEnd w:id="9"/>
    </w:p>
    <w:p w14:paraId="3A6EE8F6"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 tablicy 2 podano, dla różnych rodzajów gruntów, orientacyjne dane przy doborze sprzętu zagęszczającego. Sprzęt do zagęszczania powinien być zatwierdzony przez Inżyniera.</w:t>
      </w:r>
    </w:p>
    <w:p w14:paraId="4BEBFB4F"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Rodzaj sprzętu zagęszczającego oraz ilość jego przejść po jednym śladzie na zagęszczanej warstwie musi być dobrana na poletku doświadczalnym.</w:t>
      </w:r>
    </w:p>
    <w:p w14:paraId="3714ECA7" w14:textId="77777777" w:rsidR="00A57BFF" w:rsidRPr="00F34B5B" w:rsidRDefault="00A57BFF" w:rsidP="00A57BFF">
      <w:pPr>
        <w:pStyle w:val="Stopka"/>
        <w:keepNext/>
        <w:keepLines/>
        <w:tabs>
          <w:tab w:val="clear" w:pos="4536"/>
          <w:tab w:val="clear" w:pos="9072"/>
        </w:tabs>
        <w:spacing w:before="120"/>
        <w:jc w:val="both"/>
        <w:rPr>
          <w:rFonts w:ascii="Bookman Old Style" w:hAnsi="Bookman Old Style"/>
        </w:rPr>
      </w:pPr>
      <w:r w:rsidRPr="00F34B5B">
        <w:rPr>
          <w:rFonts w:ascii="Bookman Old Style" w:hAnsi="Bookman Old Style"/>
          <w:b/>
        </w:rPr>
        <w:t>Tablica 2.</w:t>
      </w:r>
      <w:r w:rsidRPr="00F34B5B">
        <w:rPr>
          <w:rFonts w:ascii="Bookman Old Style" w:hAnsi="Bookman Old Style"/>
        </w:rPr>
        <w:t xml:space="preserve"> Orientacyjne dane przy doborze sprzętu zagęszczającego </w:t>
      </w:r>
    </w:p>
    <w:tbl>
      <w:tblPr>
        <w:tblW w:w="9072" w:type="dxa"/>
        <w:tblInd w:w="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2998"/>
        <w:gridCol w:w="1113"/>
        <w:gridCol w:w="992"/>
        <w:gridCol w:w="993"/>
        <w:gridCol w:w="992"/>
        <w:gridCol w:w="992"/>
        <w:gridCol w:w="992"/>
      </w:tblGrid>
      <w:tr w:rsidR="00A57BFF" w:rsidRPr="00F34B5B" w14:paraId="30223CC8" w14:textId="77777777" w:rsidTr="00E37152">
        <w:trPr>
          <w:cantSplit/>
          <w:trHeight w:val="282"/>
        </w:trPr>
        <w:tc>
          <w:tcPr>
            <w:tcW w:w="2998" w:type="dxa"/>
            <w:vMerge w:val="restart"/>
            <w:tcBorders>
              <w:bottom w:val="nil"/>
            </w:tcBorders>
            <w:vAlign w:val="center"/>
          </w:tcPr>
          <w:p w14:paraId="38C78C2C"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Rodzaje urządzeń zagęszczających</w:t>
            </w:r>
          </w:p>
        </w:tc>
        <w:tc>
          <w:tcPr>
            <w:tcW w:w="6074" w:type="dxa"/>
            <w:gridSpan w:val="6"/>
            <w:tcBorders>
              <w:bottom w:val="single" w:sz="6" w:space="0" w:color="auto"/>
              <w:right w:val="single" w:sz="4" w:space="0" w:color="auto"/>
            </w:tcBorders>
            <w:vAlign w:val="center"/>
          </w:tcPr>
          <w:p w14:paraId="5A595517"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Rodzaje gruntu</w:t>
            </w:r>
          </w:p>
        </w:tc>
      </w:tr>
      <w:tr w:rsidR="00A57BFF" w:rsidRPr="00F34B5B" w14:paraId="4342E0D5" w14:textId="77777777" w:rsidTr="00E37152">
        <w:trPr>
          <w:cantSplit/>
          <w:trHeight w:val="179"/>
        </w:trPr>
        <w:tc>
          <w:tcPr>
            <w:tcW w:w="2998" w:type="dxa"/>
            <w:vMerge/>
            <w:tcBorders>
              <w:top w:val="nil"/>
              <w:bottom w:val="nil"/>
            </w:tcBorders>
            <w:vAlign w:val="center"/>
          </w:tcPr>
          <w:p w14:paraId="2C828DF0" w14:textId="77777777" w:rsidR="00A57BFF" w:rsidRPr="00F34B5B" w:rsidRDefault="00A57BFF" w:rsidP="00E37152">
            <w:pPr>
              <w:jc w:val="both"/>
              <w:rPr>
                <w:rFonts w:ascii="Bookman Old Style" w:hAnsi="Bookman Old Style"/>
                <w:sz w:val="20"/>
                <w:szCs w:val="20"/>
              </w:rPr>
            </w:pPr>
          </w:p>
        </w:tc>
        <w:tc>
          <w:tcPr>
            <w:tcW w:w="2105" w:type="dxa"/>
            <w:gridSpan w:val="2"/>
            <w:tcBorders>
              <w:top w:val="single" w:sz="6" w:space="0" w:color="auto"/>
              <w:bottom w:val="nil"/>
            </w:tcBorders>
            <w:vAlign w:val="center"/>
          </w:tcPr>
          <w:p w14:paraId="278BFC64"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niespoiste: piaski, żwiry, pospółki</w:t>
            </w:r>
          </w:p>
        </w:tc>
        <w:tc>
          <w:tcPr>
            <w:tcW w:w="1985" w:type="dxa"/>
            <w:gridSpan w:val="2"/>
            <w:tcBorders>
              <w:top w:val="single" w:sz="6" w:space="0" w:color="auto"/>
              <w:bottom w:val="nil"/>
            </w:tcBorders>
            <w:vAlign w:val="center"/>
          </w:tcPr>
          <w:p w14:paraId="405E57C1"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spoiste: pyły, gliny, iły</w:t>
            </w:r>
          </w:p>
        </w:tc>
        <w:tc>
          <w:tcPr>
            <w:tcW w:w="1984" w:type="dxa"/>
            <w:gridSpan w:val="2"/>
            <w:tcBorders>
              <w:top w:val="single" w:sz="6" w:space="0" w:color="auto"/>
              <w:bottom w:val="nil"/>
            </w:tcBorders>
          </w:tcPr>
          <w:p w14:paraId="7E594F44"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 xml:space="preserve">gruboziarniste </w:t>
            </w:r>
            <w:r w:rsidRPr="00F34B5B">
              <w:rPr>
                <w:rFonts w:ascii="Bookman Old Style" w:hAnsi="Bookman Old Style"/>
                <w:sz w:val="20"/>
                <w:szCs w:val="20"/>
              </w:rPr>
              <w:br/>
              <w:t>i kamieniste</w:t>
            </w:r>
          </w:p>
        </w:tc>
      </w:tr>
      <w:tr w:rsidR="00A57BFF" w:rsidRPr="00F34B5B" w14:paraId="25492C73" w14:textId="77777777" w:rsidTr="00E37152">
        <w:trPr>
          <w:cantSplit/>
          <w:trHeight w:val="144"/>
        </w:trPr>
        <w:tc>
          <w:tcPr>
            <w:tcW w:w="2998" w:type="dxa"/>
            <w:vMerge/>
            <w:tcBorders>
              <w:top w:val="nil"/>
              <w:bottom w:val="single" w:sz="6" w:space="0" w:color="000000"/>
            </w:tcBorders>
            <w:vAlign w:val="center"/>
          </w:tcPr>
          <w:p w14:paraId="77B83267" w14:textId="77777777" w:rsidR="00A57BFF" w:rsidRPr="00F34B5B" w:rsidRDefault="00A57BFF" w:rsidP="00E37152">
            <w:pPr>
              <w:jc w:val="both"/>
              <w:rPr>
                <w:rFonts w:ascii="Bookman Old Style" w:hAnsi="Bookman Old Style"/>
                <w:sz w:val="20"/>
                <w:szCs w:val="20"/>
              </w:rPr>
            </w:pPr>
          </w:p>
        </w:tc>
        <w:tc>
          <w:tcPr>
            <w:tcW w:w="1113" w:type="dxa"/>
            <w:tcBorders>
              <w:top w:val="single" w:sz="6" w:space="0" w:color="auto"/>
              <w:bottom w:val="single" w:sz="6" w:space="0" w:color="000000"/>
            </w:tcBorders>
            <w:vAlign w:val="center"/>
          </w:tcPr>
          <w:p w14:paraId="70729040"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grubość warstwy</w:t>
            </w:r>
          </w:p>
          <w:p w14:paraId="7614EABF"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[m]</w:t>
            </w:r>
          </w:p>
        </w:tc>
        <w:tc>
          <w:tcPr>
            <w:tcW w:w="992" w:type="dxa"/>
            <w:tcBorders>
              <w:top w:val="single" w:sz="6" w:space="0" w:color="auto"/>
              <w:bottom w:val="single" w:sz="6" w:space="0" w:color="000000"/>
            </w:tcBorders>
            <w:vAlign w:val="center"/>
          </w:tcPr>
          <w:p w14:paraId="1B7E9933"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liczba przejść</w:t>
            </w:r>
          </w:p>
          <w:p w14:paraId="62C7FE16" w14:textId="77777777" w:rsidR="00A57BFF" w:rsidRPr="00F34B5B" w:rsidRDefault="00A57BFF" w:rsidP="00E37152">
            <w:pPr>
              <w:jc w:val="center"/>
              <w:rPr>
                <w:rFonts w:ascii="Bookman Old Style" w:hAnsi="Bookman Old Style"/>
                <w:sz w:val="20"/>
                <w:szCs w:val="20"/>
                <w:vertAlign w:val="superscript"/>
              </w:rPr>
            </w:pPr>
            <w:r w:rsidRPr="00F34B5B">
              <w:rPr>
                <w:rFonts w:ascii="Bookman Old Style" w:hAnsi="Bookman Old Style"/>
                <w:sz w:val="20"/>
                <w:szCs w:val="20"/>
              </w:rPr>
              <w:t>n ***</w:t>
            </w:r>
          </w:p>
        </w:tc>
        <w:tc>
          <w:tcPr>
            <w:tcW w:w="993" w:type="dxa"/>
            <w:tcBorders>
              <w:top w:val="single" w:sz="6" w:space="0" w:color="auto"/>
              <w:bottom w:val="single" w:sz="6" w:space="0" w:color="000000"/>
            </w:tcBorders>
            <w:vAlign w:val="center"/>
          </w:tcPr>
          <w:p w14:paraId="2D6B738D"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grubość warstwy</w:t>
            </w:r>
          </w:p>
          <w:p w14:paraId="0E3CAEBC"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[m]</w:t>
            </w:r>
          </w:p>
        </w:tc>
        <w:tc>
          <w:tcPr>
            <w:tcW w:w="992" w:type="dxa"/>
            <w:tcBorders>
              <w:top w:val="single" w:sz="6" w:space="0" w:color="auto"/>
              <w:bottom w:val="single" w:sz="6" w:space="0" w:color="000000"/>
            </w:tcBorders>
            <w:vAlign w:val="bottom"/>
          </w:tcPr>
          <w:p w14:paraId="490812DA"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liczba przejść</w:t>
            </w:r>
          </w:p>
          <w:p w14:paraId="55C803A5"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n ***</w:t>
            </w:r>
          </w:p>
        </w:tc>
        <w:tc>
          <w:tcPr>
            <w:tcW w:w="992" w:type="dxa"/>
            <w:tcBorders>
              <w:top w:val="single" w:sz="6" w:space="0" w:color="auto"/>
              <w:bottom w:val="single" w:sz="6" w:space="0" w:color="000000"/>
            </w:tcBorders>
          </w:tcPr>
          <w:p w14:paraId="7540B199"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grubość warstwy</w:t>
            </w:r>
          </w:p>
          <w:p w14:paraId="4DEA208F"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[m]</w:t>
            </w:r>
          </w:p>
        </w:tc>
        <w:tc>
          <w:tcPr>
            <w:tcW w:w="992" w:type="dxa"/>
            <w:tcBorders>
              <w:top w:val="single" w:sz="6" w:space="0" w:color="auto"/>
              <w:bottom w:val="single" w:sz="6" w:space="0" w:color="000000"/>
            </w:tcBorders>
          </w:tcPr>
          <w:p w14:paraId="29EFF008"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liczba przejść</w:t>
            </w:r>
          </w:p>
          <w:p w14:paraId="74D833D3"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n ***</w:t>
            </w:r>
          </w:p>
        </w:tc>
      </w:tr>
      <w:tr w:rsidR="00A57BFF" w:rsidRPr="00F34B5B" w14:paraId="6F7C675A" w14:textId="77777777" w:rsidTr="00E37152">
        <w:trPr>
          <w:trHeight w:val="229"/>
        </w:trPr>
        <w:tc>
          <w:tcPr>
            <w:tcW w:w="2998" w:type="dxa"/>
            <w:tcBorders>
              <w:top w:val="single" w:sz="6" w:space="0" w:color="000000"/>
            </w:tcBorders>
            <w:vAlign w:val="center"/>
          </w:tcPr>
          <w:p w14:paraId="033B08EE" w14:textId="77777777" w:rsidR="00A57BFF" w:rsidRPr="00F34B5B" w:rsidRDefault="00A57BFF" w:rsidP="00E37152">
            <w:pPr>
              <w:pStyle w:val="Asienka"/>
              <w:jc w:val="center"/>
              <w:rPr>
                <w:rFonts w:ascii="Bookman Old Style" w:hAnsi="Bookman Old Style"/>
                <w:szCs w:val="20"/>
              </w:rPr>
            </w:pPr>
            <w:r w:rsidRPr="00F34B5B">
              <w:rPr>
                <w:rFonts w:ascii="Bookman Old Style" w:hAnsi="Bookman Old Style"/>
                <w:szCs w:val="20"/>
              </w:rPr>
              <w:t>Walce statyczne gładkie*</w:t>
            </w:r>
          </w:p>
        </w:tc>
        <w:tc>
          <w:tcPr>
            <w:tcW w:w="1113" w:type="dxa"/>
            <w:tcBorders>
              <w:top w:val="single" w:sz="6" w:space="0" w:color="000000"/>
            </w:tcBorders>
            <w:vAlign w:val="center"/>
          </w:tcPr>
          <w:p w14:paraId="0AD23B13"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0,1 do 0,2</w:t>
            </w:r>
          </w:p>
        </w:tc>
        <w:tc>
          <w:tcPr>
            <w:tcW w:w="992" w:type="dxa"/>
            <w:tcBorders>
              <w:top w:val="single" w:sz="6" w:space="0" w:color="000000"/>
            </w:tcBorders>
            <w:vAlign w:val="center"/>
          </w:tcPr>
          <w:p w14:paraId="3E310C9D"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c>
          <w:tcPr>
            <w:tcW w:w="993" w:type="dxa"/>
            <w:tcBorders>
              <w:top w:val="single" w:sz="6" w:space="0" w:color="000000"/>
            </w:tcBorders>
            <w:vAlign w:val="center"/>
          </w:tcPr>
          <w:p w14:paraId="7ABDC328"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0,1 do 0,2</w:t>
            </w:r>
          </w:p>
        </w:tc>
        <w:tc>
          <w:tcPr>
            <w:tcW w:w="992" w:type="dxa"/>
            <w:tcBorders>
              <w:top w:val="single" w:sz="6" w:space="0" w:color="000000"/>
            </w:tcBorders>
            <w:vAlign w:val="center"/>
          </w:tcPr>
          <w:p w14:paraId="5CF4C82C"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c>
          <w:tcPr>
            <w:tcW w:w="992" w:type="dxa"/>
            <w:tcBorders>
              <w:top w:val="single" w:sz="6" w:space="0" w:color="000000"/>
            </w:tcBorders>
            <w:vAlign w:val="center"/>
          </w:tcPr>
          <w:p w14:paraId="35B01687"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0,3</w:t>
            </w:r>
          </w:p>
        </w:tc>
        <w:tc>
          <w:tcPr>
            <w:tcW w:w="992" w:type="dxa"/>
            <w:tcBorders>
              <w:top w:val="single" w:sz="6" w:space="0" w:color="000000"/>
            </w:tcBorders>
            <w:vAlign w:val="center"/>
          </w:tcPr>
          <w:p w14:paraId="3F5D0B04"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r>
      <w:tr w:rsidR="00A57BFF" w:rsidRPr="00F34B5B" w14:paraId="77D5DF1B" w14:textId="77777777" w:rsidTr="00E37152">
        <w:trPr>
          <w:trHeight w:val="229"/>
        </w:trPr>
        <w:tc>
          <w:tcPr>
            <w:tcW w:w="2998" w:type="dxa"/>
            <w:vAlign w:val="center"/>
          </w:tcPr>
          <w:p w14:paraId="1295CBCD"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t>Walce statyczne ogumione*</w:t>
            </w:r>
          </w:p>
        </w:tc>
        <w:tc>
          <w:tcPr>
            <w:tcW w:w="1113" w:type="dxa"/>
            <w:vAlign w:val="center"/>
          </w:tcPr>
          <w:p w14:paraId="17B844BA"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0,5</w:t>
            </w:r>
          </w:p>
        </w:tc>
        <w:tc>
          <w:tcPr>
            <w:tcW w:w="992" w:type="dxa"/>
            <w:vAlign w:val="center"/>
          </w:tcPr>
          <w:p w14:paraId="13315177"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6 do 8</w:t>
            </w:r>
          </w:p>
        </w:tc>
        <w:tc>
          <w:tcPr>
            <w:tcW w:w="993" w:type="dxa"/>
            <w:vAlign w:val="center"/>
          </w:tcPr>
          <w:p w14:paraId="660EF70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6728B019"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6 do 10</w:t>
            </w:r>
          </w:p>
        </w:tc>
        <w:tc>
          <w:tcPr>
            <w:tcW w:w="992" w:type="dxa"/>
            <w:vAlign w:val="center"/>
          </w:tcPr>
          <w:p w14:paraId="1EF88B05"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w:t>
            </w:r>
          </w:p>
        </w:tc>
        <w:tc>
          <w:tcPr>
            <w:tcW w:w="992" w:type="dxa"/>
            <w:vAlign w:val="center"/>
          </w:tcPr>
          <w:p w14:paraId="3FFA13C9"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w:t>
            </w:r>
          </w:p>
        </w:tc>
      </w:tr>
      <w:tr w:rsidR="00A57BFF" w:rsidRPr="00F34B5B" w14:paraId="47958415" w14:textId="77777777" w:rsidTr="00E37152">
        <w:trPr>
          <w:trHeight w:val="220"/>
        </w:trPr>
        <w:tc>
          <w:tcPr>
            <w:tcW w:w="2998" w:type="dxa"/>
            <w:vAlign w:val="center"/>
          </w:tcPr>
          <w:p w14:paraId="62DD0DE3"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lastRenderedPageBreak/>
              <w:t>Walce wibracyjne gładkie**</w:t>
            </w:r>
          </w:p>
        </w:tc>
        <w:tc>
          <w:tcPr>
            <w:tcW w:w="1113" w:type="dxa"/>
            <w:vAlign w:val="center"/>
          </w:tcPr>
          <w:p w14:paraId="556A99B3"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0,4 do 0,7</w:t>
            </w:r>
          </w:p>
        </w:tc>
        <w:tc>
          <w:tcPr>
            <w:tcW w:w="992" w:type="dxa"/>
            <w:vAlign w:val="center"/>
          </w:tcPr>
          <w:p w14:paraId="759758D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c>
          <w:tcPr>
            <w:tcW w:w="993" w:type="dxa"/>
            <w:vAlign w:val="center"/>
          </w:tcPr>
          <w:p w14:paraId="4A392B9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0E4B26B1"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4</w:t>
            </w:r>
          </w:p>
        </w:tc>
        <w:tc>
          <w:tcPr>
            <w:tcW w:w="992" w:type="dxa"/>
            <w:vAlign w:val="center"/>
          </w:tcPr>
          <w:p w14:paraId="7418030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0,3 do 0,6</w:t>
            </w:r>
          </w:p>
        </w:tc>
        <w:tc>
          <w:tcPr>
            <w:tcW w:w="992" w:type="dxa"/>
            <w:vAlign w:val="center"/>
          </w:tcPr>
          <w:p w14:paraId="583A171C"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5</w:t>
            </w:r>
          </w:p>
        </w:tc>
      </w:tr>
      <w:tr w:rsidR="00A57BFF" w:rsidRPr="00F34B5B" w14:paraId="1F0EAF13" w14:textId="77777777" w:rsidTr="00E37152">
        <w:trPr>
          <w:trHeight w:val="229"/>
        </w:trPr>
        <w:tc>
          <w:tcPr>
            <w:tcW w:w="2998" w:type="dxa"/>
            <w:vAlign w:val="center"/>
          </w:tcPr>
          <w:p w14:paraId="4DF8FD95"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t>Walce wibracyjne okołkowane **</w:t>
            </w:r>
          </w:p>
        </w:tc>
        <w:tc>
          <w:tcPr>
            <w:tcW w:w="1113" w:type="dxa"/>
            <w:vAlign w:val="center"/>
          </w:tcPr>
          <w:p w14:paraId="642522C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0,3 do 0,6</w:t>
            </w:r>
          </w:p>
        </w:tc>
        <w:tc>
          <w:tcPr>
            <w:tcW w:w="992" w:type="dxa"/>
            <w:vAlign w:val="center"/>
          </w:tcPr>
          <w:p w14:paraId="7FB52554"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6</w:t>
            </w:r>
          </w:p>
        </w:tc>
        <w:tc>
          <w:tcPr>
            <w:tcW w:w="993" w:type="dxa"/>
            <w:vAlign w:val="center"/>
          </w:tcPr>
          <w:p w14:paraId="63660851"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5C59EE8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6 do 10</w:t>
            </w:r>
          </w:p>
        </w:tc>
        <w:tc>
          <w:tcPr>
            <w:tcW w:w="992" w:type="dxa"/>
            <w:vAlign w:val="center"/>
          </w:tcPr>
          <w:p w14:paraId="0121A358"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02840DB6"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6 do 10</w:t>
            </w:r>
          </w:p>
        </w:tc>
      </w:tr>
      <w:tr w:rsidR="00A57BFF" w:rsidRPr="00F34B5B" w14:paraId="4C6D0DE6" w14:textId="77777777" w:rsidTr="00E37152">
        <w:trPr>
          <w:trHeight w:val="229"/>
        </w:trPr>
        <w:tc>
          <w:tcPr>
            <w:tcW w:w="2998" w:type="dxa"/>
            <w:vAlign w:val="center"/>
          </w:tcPr>
          <w:p w14:paraId="115F3479"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t>Zagęszczarki wibracyjne**</w:t>
            </w:r>
          </w:p>
        </w:tc>
        <w:tc>
          <w:tcPr>
            <w:tcW w:w="1113" w:type="dxa"/>
            <w:vAlign w:val="center"/>
          </w:tcPr>
          <w:p w14:paraId="0C6CB281"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0,3 do 0,5</w:t>
            </w:r>
          </w:p>
        </w:tc>
        <w:tc>
          <w:tcPr>
            <w:tcW w:w="992" w:type="dxa"/>
            <w:vAlign w:val="center"/>
          </w:tcPr>
          <w:p w14:paraId="4108C4F5"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c>
          <w:tcPr>
            <w:tcW w:w="993" w:type="dxa"/>
            <w:vAlign w:val="center"/>
          </w:tcPr>
          <w:p w14:paraId="0878D525"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w:t>
            </w:r>
          </w:p>
        </w:tc>
        <w:tc>
          <w:tcPr>
            <w:tcW w:w="992" w:type="dxa"/>
            <w:vAlign w:val="center"/>
          </w:tcPr>
          <w:p w14:paraId="1E95980D"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w:t>
            </w:r>
          </w:p>
        </w:tc>
        <w:tc>
          <w:tcPr>
            <w:tcW w:w="992" w:type="dxa"/>
            <w:vAlign w:val="center"/>
          </w:tcPr>
          <w:p w14:paraId="6BF6F99F"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do0,5</w:t>
            </w:r>
          </w:p>
        </w:tc>
        <w:tc>
          <w:tcPr>
            <w:tcW w:w="992" w:type="dxa"/>
            <w:vAlign w:val="center"/>
          </w:tcPr>
          <w:p w14:paraId="7CD32CDD"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8</w:t>
            </w:r>
          </w:p>
        </w:tc>
      </w:tr>
      <w:tr w:rsidR="00A57BFF" w:rsidRPr="00F34B5B" w14:paraId="339583AB" w14:textId="77777777" w:rsidTr="00E37152">
        <w:trPr>
          <w:trHeight w:val="229"/>
        </w:trPr>
        <w:tc>
          <w:tcPr>
            <w:tcW w:w="2998" w:type="dxa"/>
            <w:vAlign w:val="center"/>
          </w:tcPr>
          <w:p w14:paraId="0EBB14E3"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t>Ubijaki szybkouderzające</w:t>
            </w:r>
          </w:p>
        </w:tc>
        <w:tc>
          <w:tcPr>
            <w:tcW w:w="1113" w:type="dxa"/>
            <w:vAlign w:val="center"/>
          </w:tcPr>
          <w:p w14:paraId="3A1D0442"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06392FDF"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2 do 4</w:t>
            </w:r>
          </w:p>
        </w:tc>
        <w:tc>
          <w:tcPr>
            <w:tcW w:w="993" w:type="dxa"/>
            <w:vAlign w:val="center"/>
          </w:tcPr>
          <w:p w14:paraId="5AEE33F5"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0,1 do 0,3</w:t>
            </w:r>
          </w:p>
        </w:tc>
        <w:tc>
          <w:tcPr>
            <w:tcW w:w="992" w:type="dxa"/>
            <w:vAlign w:val="center"/>
          </w:tcPr>
          <w:p w14:paraId="7F4C35D0"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5</w:t>
            </w:r>
          </w:p>
        </w:tc>
        <w:tc>
          <w:tcPr>
            <w:tcW w:w="992" w:type="dxa"/>
            <w:vAlign w:val="center"/>
          </w:tcPr>
          <w:p w14:paraId="29B95769"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0,2 do 0,4</w:t>
            </w:r>
          </w:p>
        </w:tc>
        <w:tc>
          <w:tcPr>
            <w:tcW w:w="992" w:type="dxa"/>
            <w:vAlign w:val="center"/>
          </w:tcPr>
          <w:p w14:paraId="465B31E2"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4</w:t>
            </w:r>
          </w:p>
        </w:tc>
      </w:tr>
      <w:tr w:rsidR="00A57BFF" w:rsidRPr="00F34B5B" w14:paraId="4FDC756D" w14:textId="77777777" w:rsidTr="00E37152">
        <w:trPr>
          <w:trHeight w:val="458"/>
        </w:trPr>
        <w:tc>
          <w:tcPr>
            <w:tcW w:w="2998" w:type="dxa"/>
            <w:vAlign w:val="center"/>
          </w:tcPr>
          <w:p w14:paraId="09E9056D" w14:textId="77777777" w:rsidR="00A57BFF" w:rsidRPr="00F34B5B" w:rsidRDefault="00A57BFF" w:rsidP="00E37152">
            <w:pPr>
              <w:ind w:left="-70"/>
              <w:jc w:val="center"/>
              <w:rPr>
                <w:rFonts w:ascii="Bookman Old Style" w:hAnsi="Bookman Old Style"/>
                <w:sz w:val="20"/>
                <w:szCs w:val="20"/>
              </w:rPr>
            </w:pPr>
            <w:r w:rsidRPr="00F34B5B">
              <w:rPr>
                <w:rFonts w:ascii="Bookman Old Style" w:hAnsi="Bookman Old Style"/>
                <w:sz w:val="20"/>
                <w:szCs w:val="20"/>
              </w:rPr>
              <w:t>Ubijaki o masie od 1 do 10 Mg zrzucane z wysokości od 5 do 10 m</w:t>
            </w:r>
          </w:p>
        </w:tc>
        <w:tc>
          <w:tcPr>
            <w:tcW w:w="1113" w:type="dxa"/>
            <w:vAlign w:val="center"/>
          </w:tcPr>
          <w:p w14:paraId="4B81D2F4"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2,0 do 8,0</w:t>
            </w:r>
          </w:p>
        </w:tc>
        <w:tc>
          <w:tcPr>
            <w:tcW w:w="992" w:type="dxa"/>
            <w:vAlign w:val="center"/>
          </w:tcPr>
          <w:p w14:paraId="4E86C8DC"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4 do 10 uderzeń w punkt</w:t>
            </w:r>
          </w:p>
        </w:tc>
        <w:tc>
          <w:tcPr>
            <w:tcW w:w="993" w:type="dxa"/>
            <w:vAlign w:val="center"/>
          </w:tcPr>
          <w:p w14:paraId="23D4812E"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1,0 do 4,0</w:t>
            </w:r>
          </w:p>
        </w:tc>
        <w:tc>
          <w:tcPr>
            <w:tcW w:w="992" w:type="dxa"/>
            <w:vAlign w:val="center"/>
          </w:tcPr>
          <w:p w14:paraId="2A6C92B6"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 xml:space="preserve">3 do 6 uderzeń </w:t>
            </w:r>
            <w:r w:rsidRPr="00F34B5B">
              <w:rPr>
                <w:rFonts w:ascii="Bookman Old Style" w:hAnsi="Bookman Old Style"/>
                <w:sz w:val="20"/>
                <w:szCs w:val="20"/>
              </w:rPr>
              <w:br/>
              <w:t>w punkt</w:t>
            </w:r>
          </w:p>
        </w:tc>
        <w:tc>
          <w:tcPr>
            <w:tcW w:w="992" w:type="dxa"/>
            <w:vAlign w:val="center"/>
          </w:tcPr>
          <w:p w14:paraId="22451128"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1,0 do 5,0</w:t>
            </w:r>
          </w:p>
        </w:tc>
        <w:tc>
          <w:tcPr>
            <w:tcW w:w="992" w:type="dxa"/>
            <w:vAlign w:val="center"/>
          </w:tcPr>
          <w:p w14:paraId="4EAFF87B" w14:textId="77777777" w:rsidR="00A57BFF" w:rsidRPr="00F34B5B" w:rsidRDefault="00A57BFF" w:rsidP="00E37152">
            <w:pPr>
              <w:jc w:val="center"/>
              <w:rPr>
                <w:rFonts w:ascii="Bookman Old Style" w:hAnsi="Bookman Old Style"/>
                <w:sz w:val="20"/>
                <w:szCs w:val="20"/>
              </w:rPr>
            </w:pPr>
            <w:r w:rsidRPr="00F34B5B">
              <w:rPr>
                <w:rFonts w:ascii="Bookman Old Style" w:hAnsi="Bookman Old Style"/>
                <w:sz w:val="20"/>
                <w:szCs w:val="20"/>
              </w:rPr>
              <w:t>3 do 6 uderzeń w punkt</w:t>
            </w:r>
          </w:p>
        </w:tc>
      </w:tr>
    </w:tbl>
    <w:p w14:paraId="5791C245" w14:textId="77777777" w:rsidR="00A57BFF" w:rsidRPr="00F34B5B" w:rsidRDefault="00A57BFF" w:rsidP="00A57BFF">
      <w:pPr>
        <w:pStyle w:val="StylIwony"/>
        <w:spacing w:before="0" w:after="0"/>
        <w:rPr>
          <w:sz w:val="20"/>
        </w:rPr>
      </w:pPr>
      <w:r w:rsidRPr="00F34B5B">
        <w:rPr>
          <w:sz w:val="20"/>
        </w:rPr>
        <w:t>*) Walce statyczne są mało przydatne w gruntach kamienistych.</w:t>
      </w:r>
    </w:p>
    <w:p w14:paraId="0DD6AB95" w14:textId="77777777" w:rsidR="00A57BFF" w:rsidRPr="00F34B5B" w:rsidRDefault="00A57BFF" w:rsidP="00A57BFF">
      <w:pPr>
        <w:pStyle w:val="StylIwony"/>
        <w:spacing w:before="0" w:after="0"/>
        <w:rPr>
          <w:sz w:val="20"/>
        </w:rPr>
      </w:pPr>
      <w:r w:rsidRPr="00F34B5B">
        <w:rPr>
          <w:sz w:val="20"/>
        </w:rPr>
        <w:t xml:space="preserve">**) Wibracyjnie należy zagęszczać warstwy grubości </w:t>
      </w:r>
      <w:r w:rsidRPr="00F34B5B">
        <w:rPr>
          <w:sz w:val="20"/>
        </w:rPr>
        <w:sym w:font="Symbol" w:char="F0B3"/>
      </w:r>
      <w:r w:rsidRPr="00F34B5B">
        <w:rPr>
          <w:sz w:val="20"/>
        </w:rPr>
        <w:t>15 cm, cieńsze warstwy należy zagęszczać statycznie.</w:t>
      </w:r>
    </w:p>
    <w:p w14:paraId="7F8136C9" w14:textId="77777777" w:rsidR="00A57BFF" w:rsidRPr="00F34B5B" w:rsidRDefault="00A57BFF" w:rsidP="00A57BFF">
      <w:pPr>
        <w:pStyle w:val="StylIwony"/>
        <w:spacing w:before="0" w:after="0"/>
        <w:rPr>
          <w:sz w:val="20"/>
        </w:rPr>
      </w:pPr>
      <w:r w:rsidRPr="00F34B5B">
        <w:rPr>
          <w:sz w:val="20"/>
        </w:rPr>
        <w:t>***) Wartości orientacyjne, właściwe należy ustalić na odcinku doświadczalnym.</w:t>
      </w:r>
    </w:p>
    <w:p w14:paraId="1B1FBE0C" w14:textId="77777777" w:rsidR="00A57BFF" w:rsidRPr="00F34B5B" w:rsidRDefault="00A57BFF" w:rsidP="00A57BFF">
      <w:pPr>
        <w:spacing w:before="240"/>
        <w:jc w:val="both"/>
        <w:rPr>
          <w:rFonts w:ascii="Bookman Old Style" w:hAnsi="Bookman Old Style"/>
          <w:b/>
          <w:sz w:val="20"/>
          <w:szCs w:val="20"/>
        </w:rPr>
      </w:pPr>
      <w:r w:rsidRPr="00F34B5B">
        <w:rPr>
          <w:rFonts w:ascii="Bookman Old Style" w:hAnsi="Bookman Old Style"/>
          <w:b/>
          <w:sz w:val="20"/>
          <w:szCs w:val="20"/>
        </w:rPr>
        <w:t>4. TRANSPORT</w:t>
      </w:r>
    </w:p>
    <w:p w14:paraId="2BCAA41C" w14:textId="77777777" w:rsidR="00A57BFF" w:rsidRPr="00F34B5B" w:rsidRDefault="00A57BFF" w:rsidP="00A57BFF">
      <w:pPr>
        <w:jc w:val="both"/>
        <w:rPr>
          <w:rFonts w:ascii="Bookman Old Style" w:hAnsi="Bookman Old Style"/>
          <w:b/>
          <w:sz w:val="20"/>
          <w:u w:val="single"/>
        </w:rPr>
      </w:pPr>
      <w:r w:rsidRPr="00F34B5B">
        <w:rPr>
          <w:rFonts w:ascii="Bookman Old Style" w:hAnsi="Bookman Old Style"/>
          <w:b/>
          <w:sz w:val="20"/>
          <w:u w:val="single"/>
        </w:rPr>
        <w:t>4.1. Wymagania ogólne</w:t>
      </w:r>
    </w:p>
    <w:p w14:paraId="1806802B" w14:textId="57084F9F" w:rsidR="00A57BFF" w:rsidRPr="00F34B5B" w:rsidRDefault="00A57BFF" w:rsidP="00A57BFF">
      <w:pPr>
        <w:pStyle w:val="Tekstpodstawowy3"/>
        <w:rPr>
          <w:rFonts w:ascii="Bookman Old Style" w:hAnsi="Bookman Old Style"/>
          <w:sz w:val="20"/>
        </w:rPr>
      </w:pPr>
      <w:r w:rsidRPr="00F34B5B">
        <w:rPr>
          <w:rFonts w:ascii="Bookman Old Style" w:hAnsi="Bookman Old Style"/>
          <w:sz w:val="20"/>
        </w:rPr>
        <w:t xml:space="preserve">Ogólne wymagania dla transportu podano w STWiORB </w:t>
      </w:r>
      <w:r w:rsidR="00D63CE9" w:rsidRPr="00F34B5B">
        <w:rPr>
          <w:rFonts w:ascii="Bookman Old Style" w:hAnsi="Bookman Old Style"/>
          <w:sz w:val="20"/>
        </w:rPr>
        <w:t>D-00.00.00.</w:t>
      </w:r>
      <w:r w:rsidRPr="00F34B5B">
        <w:rPr>
          <w:rFonts w:ascii="Bookman Old Style" w:hAnsi="Bookman Old Style"/>
          <w:sz w:val="20"/>
        </w:rPr>
        <w:t xml:space="preserve"> pkt. 4. </w:t>
      </w:r>
    </w:p>
    <w:p w14:paraId="4C6FBBBA" w14:textId="77777777" w:rsidR="00A57BFF" w:rsidRPr="00F34B5B" w:rsidRDefault="00A57BFF" w:rsidP="00A57BFF">
      <w:pPr>
        <w:keepNext/>
        <w:keepLines/>
        <w:spacing w:before="240"/>
        <w:jc w:val="both"/>
        <w:rPr>
          <w:rFonts w:ascii="Bookman Old Style" w:hAnsi="Bookman Old Style"/>
          <w:sz w:val="20"/>
          <w:szCs w:val="20"/>
        </w:rPr>
      </w:pPr>
      <w:r w:rsidRPr="00F34B5B">
        <w:rPr>
          <w:rFonts w:ascii="Bookman Old Style" w:hAnsi="Bookman Old Style"/>
          <w:b/>
          <w:sz w:val="20"/>
          <w:szCs w:val="20"/>
        </w:rPr>
        <w:t>5. WYKONANIE ROBÓT</w:t>
      </w:r>
    </w:p>
    <w:p w14:paraId="75819AB2" w14:textId="77777777" w:rsidR="00A57BFF" w:rsidRPr="00F34B5B" w:rsidRDefault="00A57BFF" w:rsidP="00A57BFF">
      <w:pPr>
        <w:keepNext/>
        <w:keepLines/>
        <w:jc w:val="both"/>
        <w:rPr>
          <w:rFonts w:ascii="Bookman Old Style" w:hAnsi="Bookman Old Style"/>
          <w:sz w:val="20"/>
        </w:rPr>
      </w:pPr>
      <w:r w:rsidRPr="00F34B5B">
        <w:rPr>
          <w:rFonts w:ascii="Bookman Old Style" w:hAnsi="Bookman Old Style"/>
          <w:b/>
          <w:sz w:val="20"/>
          <w:u w:val="single"/>
        </w:rPr>
        <w:t>5.1. Ogólne zasady wykonania robót</w:t>
      </w:r>
    </w:p>
    <w:p w14:paraId="08188D7D" w14:textId="74E36A0A" w:rsidR="00A57BFF" w:rsidRPr="00F34B5B" w:rsidRDefault="00A57BFF" w:rsidP="00A57BFF">
      <w:pPr>
        <w:keepNext/>
        <w:keepLines/>
        <w:jc w:val="both"/>
        <w:rPr>
          <w:rFonts w:ascii="Bookman Old Style" w:hAnsi="Bookman Old Style"/>
          <w:sz w:val="20"/>
        </w:rPr>
      </w:pPr>
      <w:r w:rsidRPr="00F34B5B">
        <w:rPr>
          <w:rFonts w:ascii="Bookman Old Style" w:hAnsi="Bookman Old Style"/>
          <w:sz w:val="20"/>
        </w:rPr>
        <w:t xml:space="preserve">Ogólne zasady wykonania robót podano w STWiORB </w:t>
      </w:r>
      <w:r w:rsidR="00D63CE9" w:rsidRPr="00F34B5B">
        <w:rPr>
          <w:rFonts w:ascii="Bookman Old Style" w:hAnsi="Bookman Old Style"/>
          <w:sz w:val="20"/>
        </w:rPr>
        <w:t>D-00.00.00.</w:t>
      </w:r>
      <w:r w:rsidRPr="00F34B5B">
        <w:rPr>
          <w:rFonts w:ascii="Bookman Old Style" w:hAnsi="Bookman Old Style"/>
          <w:sz w:val="20"/>
        </w:rPr>
        <w:t xml:space="preserve"> pkt. 5.</w:t>
      </w:r>
    </w:p>
    <w:p w14:paraId="30F89A66" w14:textId="77777777" w:rsidR="00A57BFF" w:rsidRPr="00F34B5B" w:rsidRDefault="00A57BFF" w:rsidP="00A57BFF">
      <w:pPr>
        <w:pStyle w:val="StandardowytekstZnak"/>
        <w:rPr>
          <w:rFonts w:ascii="Bookman Old Style" w:hAnsi="Bookman Old Style"/>
          <w:b/>
          <w:u w:val="single"/>
        </w:rPr>
      </w:pPr>
      <w:bookmarkStart w:id="10" w:name="_Toc406295863"/>
      <w:bookmarkStart w:id="11" w:name="_Toc407161283"/>
      <w:r w:rsidRPr="00F34B5B">
        <w:rPr>
          <w:rFonts w:ascii="Bookman Old Style" w:hAnsi="Bookman Old Style"/>
          <w:b/>
          <w:u w:val="single"/>
        </w:rPr>
        <w:t>5.2. Dokop</w:t>
      </w:r>
      <w:bookmarkEnd w:id="10"/>
      <w:bookmarkEnd w:id="11"/>
    </w:p>
    <w:p w14:paraId="4C48186A" w14:textId="77777777" w:rsidR="00A57BFF" w:rsidRPr="00F34B5B" w:rsidRDefault="00A57BFF" w:rsidP="00A57BFF">
      <w:pPr>
        <w:keepNext/>
        <w:jc w:val="both"/>
        <w:rPr>
          <w:rFonts w:ascii="Bookman Old Style" w:hAnsi="Bookman Old Style"/>
          <w:sz w:val="20"/>
          <w:szCs w:val="20"/>
        </w:rPr>
      </w:pPr>
      <w:r w:rsidRPr="00F34B5B">
        <w:rPr>
          <w:rFonts w:ascii="Bookman Old Style" w:hAnsi="Bookman Old Style"/>
          <w:b/>
          <w:sz w:val="20"/>
          <w:szCs w:val="20"/>
        </w:rPr>
        <w:t>5.2.1. Miejsce dokopu</w:t>
      </w:r>
    </w:p>
    <w:p w14:paraId="04DD80CA" w14:textId="5367F552" w:rsidR="00A57BFF" w:rsidRPr="00F34B5B" w:rsidRDefault="00A57BFF" w:rsidP="00A57BFF">
      <w:pPr>
        <w:pStyle w:val="tekstost"/>
        <w:rPr>
          <w:rFonts w:ascii="Bookman Old Style" w:hAnsi="Bookman Old Style"/>
        </w:rPr>
      </w:pPr>
      <w:r w:rsidRPr="00F34B5B">
        <w:rPr>
          <w:rFonts w:ascii="Bookman Old Style" w:hAnsi="Bookman Old Style"/>
        </w:rPr>
        <w:t>Miejsce dokopu ma zapewnić Wykonawca</w:t>
      </w:r>
      <w:r w:rsidR="00D63CE9" w:rsidRPr="00F34B5B">
        <w:rPr>
          <w:rFonts w:ascii="Bookman Old Style" w:hAnsi="Bookman Old Style"/>
        </w:rPr>
        <w:t>.</w:t>
      </w:r>
      <w:r w:rsidRPr="00F34B5B">
        <w:rPr>
          <w:rFonts w:ascii="Bookman Old Style" w:hAnsi="Bookman Old Style"/>
        </w:rPr>
        <w:t xml:space="preserve"> </w:t>
      </w:r>
    </w:p>
    <w:p w14:paraId="40A27689"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Miejsce dokopu powinno być tak dobrane, żeby zapewnić przewóz lub przemieszczanie gruntu na jak najkrótszych odległościach. O ile to możliwe, transport gruntu powinien odbywać się w poziomie lub zgodnie ze spadkiem terenu. </w:t>
      </w:r>
    </w:p>
    <w:p w14:paraId="33AA459B"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b/>
          <w:sz w:val="20"/>
          <w:szCs w:val="20"/>
        </w:rPr>
        <w:t>5.2.2. Zasady prowadzenia robót w dokopie</w:t>
      </w:r>
    </w:p>
    <w:p w14:paraId="263D0B00" w14:textId="77777777" w:rsidR="00A57BFF" w:rsidRPr="00F34B5B" w:rsidRDefault="00A57BFF" w:rsidP="00A57BFF">
      <w:pPr>
        <w:pStyle w:val="tekstost"/>
        <w:rPr>
          <w:rFonts w:ascii="Bookman Old Style" w:hAnsi="Bookman Old Style"/>
        </w:rPr>
      </w:pPr>
      <w:r w:rsidRPr="00F34B5B">
        <w:rPr>
          <w:rFonts w:ascii="Bookman Old Style" w:hAnsi="Bookman Old Style"/>
        </w:rPr>
        <w:t>Pozyskiwanie gruntu z dokopu może rozpocząć się dopiero po pobraniu próbek i zbadaniu przydatności zalegającego gruntu do budowy nasypów. Głębokość na jaką należy ocenić przydatność gruntu powinna być dostosowana do zakresu prac.</w:t>
      </w:r>
    </w:p>
    <w:p w14:paraId="0EDBC19D" w14:textId="563B3603" w:rsidR="00A57BFF" w:rsidRPr="00F34B5B" w:rsidRDefault="00A57BFF" w:rsidP="00A57BFF">
      <w:pPr>
        <w:jc w:val="both"/>
        <w:rPr>
          <w:rFonts w:ascii="Bookman Old Style" w:hAnsi="Bookman Old Style"/>
          <w:strike/>
          <w:sz w:val="20"/>
        </w:rPr>
      </w:pPr>
      <w:r w:rsidRPr="00F34B5B">
        <w:rPr>
          <w:rFonts w:ascii="Bookman Old Style" w:hAnsi="Bookman Old Style"/>
          <w:sz w:val="20"/>
          <w:szCs w:val="20"/>
        </w:rPr>
        <w:t xml:space="preserve">Grunty nieprzydatne do budowy nasypów nie powinny być odspajane, chyba że wymaga tego dostęp do gruntu przeznaczonego do przewiezienia z dokopu w nasyp. </w:t>
      </w:r>
    </w:p>
    <w:p w14:paraId="1F9F69DF"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5.3. Wykonanie nasypów</w:t>
      </w:r>
    </w:p>
    <w:p w14:paraId="41AD4E94" w14:textId="77777777" w:rsidR="00A57BFF" w:rsidRPr="00F34B5B" w:rsidRDefault="00A57BFF" w:rsidP="00A57BFF">
      <w:pPr>
        <w:tabs>
          <w:tab w:val="left" w:pos="518"/>
        </w:tabs>
        <w:jc w:val="both"/>
        <w:rPr>
          <w:rFonts w:ascii="Bookman Old Style" w:hAnsi="Bookman Old Style"/>
          <w:b/>
          <w:sz w:val="20"/>
          <w:szCs w:val="20"/>
        </w:rPr>
      </w:pPr>
      <w:r w:rsidRPr="00F34B5B">
        <w:rPr>
          <w:rFonts w:ascii="Bookman Old Style" w:hAnsi="Bookman Old Style"/>
          <w:b/>
          <w:sz w:val="20"/>
          <w:szCs w:val="20"/>
        </w:rPr>
        <w:t>5.3.1. Przygotowanie podłoża w obrębie podstawy nasypu</w:t>
      </w:r>
    </w:p>
    <w:p w14:paraId="30AC50F1" w14:textId="3893E828" w:rsidR="00A57BFF" w:rsidRPr="00F34B5B" w:rsidRDefault="00A57BFF" w:rsidP="00A57BFF">
      <w:pPr>
        <w:tabs>
          <w:tab w:val="left" w:pos="518"/>
        </w:tabs>
        <w:jc w:val="both"/>
        <w:rPr>
          <w:rFonts w:ascii="Bookman Old Style" w:hAnsi="Bookman Old Style"/>
          <w:sz w:val="20"/>
          <w:szCs w:val="20"/>
        </w:rPr>
      </w:pPr>
      <w:r w:rsidRPr="00F34B5B">
        <w:rPr>
          <w:rFonts w:ascii="Bookman Old Style" w:hAnsi="Bookman Old Style"/>
          <w:sz w:val="20"/>
          <w:szCs w:val="20"/>
        </w:rPr>
        <w:t>Przed przystąpieniem do budowy nasypu należy w obrębie jego podstawy zakończyć roboty przygotowawcze</w:t>
      </w:r>
      <w:r w:rsidRPr="00F34B5B">
        <w:rPr>
          <w:rFonts w:ascii="Bookman Old Style" w:hAnsi="Bookman Old Style"/>
          <w:sz w:val="20"/>
        </w:rPr>
        <w:t xml:space="preserve">, określone w STWiORB </w:t>
      </w:r>
      <w:r w:rsidR="00D63CE9" w:rsidRPr="00F34B5B">
        <w:rPr>
          <w:rFonts w:ascii="Bookman Old Style" w:hAnsi="Bookman Old Style"/>
          <w:sz w:val="20"/>
        </w:rPr>
        <w:t>D-00.00.00.</w:t>
      </w:r>
      <w:r w:rsidRPr="00F34B5B">
        <w:rPr>
          <w:rFonts w:ascii="Bookman Old Style" w:hAnsi="Bookman Old Style"/>
          <w:sz w:val="20"/>
        </w:rPr>
        <w:t xml:space="preserve"> „Roboty przygotowawcze”.</w:t>
      </w:r>
    </w:p>
    <w:p w14:paraId="5DAA0AD6" w14:textId="77777777" w:rsidR="00A57BFF" w:rsidRPr="00F34B5B" w:rsidRDefault="00A57BFF" w:rsidP="00A57BFF">
      <w:pPr>
        <w:keepNext/>
        <w:jc w:val="both"/>
        <w:rPr>
          <w:rFonts w:ascii="Bookman Old Style" w:hAnsi="Bookman Old Style"/>
          <w:b/>
          <w:sz w:val="20"/>
          <w:szCs w:val="20"/>
        </w:rPr>
      </w:pPr>
      <w:r w:rsidRPr="00F34B5B">
        <w:rPr>
          <w:rFonts w:ascii="Bookman Old Style" w:hAnsi="Bookman Old Style"/>
          <w:b/>
          <w:sz w:val="20"/>
          <w:szCs w:val="20"/>
        </w:rPr>
        <w:t>5.3.1.1. Zagęszczenie gruntów w podłożu nasypów</w:t>
      </w:r>
    </w:p>
    <w:p w14:paraId="5F6E930D" w14:textId="1D3E22EC" w:rsidR="00A57BFF" w:rsidRPr="00F34B5B" w:rsidRDefault="00A57BFF"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 xml:space="preserve">Wykonawca powinien skontrolować wskaźnik zagęszczenia oraz nośność gruntów rodzimych, zalegających w strefie podłoża nasypu. </w:t>
      </w:r>
    </w:p>
    <w:p w14:paraId="300C355C" w14:textId="645FFF9B" w:rsidR="00A57BFF" w:rsidRPr="00F34B5B" w:rsidRDefault="00A57BFF"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 xml:space="preserve">Minimalne wartości wskaźnika zagęszczenia </w:t>
      </w:r>
      <w:r w:rsidR="000F632A" w:rsidRPr="00F34B5B">
        <w:rPr>
          <w:rFonts w:ascii="Bookman Old Style" w:hAnsi="Bookman Old Style"/>
          <w:sz w:val="20"/>
          <w:szCs w:val="20"/>
        </w:rPr>
        <w:t xml:space="preserve">Is </w:t>
      </w:r>
      <w:r w:rsidRPr="00F34B5B">
        <w:rPr>
          <w:rFonts w:ascii="Bookman Old Style" w:hAnsi="Bookman Old Style"/>
          <w:sz w:val="20"/>
          <w:szCs w:val="20"/>
        </w:rPr>
        <w:t>gruntów podłoża oraz wartości wtórnego modułu E</w:t>
      </w:r>
      <w:r w:rsidRPr="00F34B5B">
        <w:rPr>
          <w:rFonts w:ascii="Bookman Old Style" w:hAnsi="Bookman Old Style"/>
          <w:sz w:val="20"/>
          <w:szCs w:val="20"/>
          <w:vertAlign w:val="subscript"/>
        </w:rPr>
        <w:t>2</w:t>
      </w:r>
      <w:r w:rsidRPr="00F34B5B">
        <w:rPr>
          <w:rFonts w:ascii="Bookman Old Style" w:hAnsi="Bookman Old Style"/>
          <w:sz w:val="20"/>
        </w:rPr>
        <w:t xml:space="preserve"> </w:t>
      </w:r>
      <w:r w:rsidR="000F632A" w:rsidRPr="00F34B5B">
        <w:rPr>
          <w:rFonts w:ascii="Bookman Old Style" w:hAnsi="Bookman Old Style"/>
          <w:sz w:val="20"/>
        </w:rPr>
        <w:t xml:space="preserve">z </w:t>
      </w:r>
      <w:r w:rsidR="000F632A" w:rsidRPr="00F34B5B">
        <w:rPr>
          <w:rFonts w:ascii="Bookman Old Style" w:hAnsi="Bookman Old Style"/>
          <w:sz w:val="20"/>
          <w:szCs w:val="20"/>
        </w:rPr>
        <w:t xml:space="preserve">płyty statycznej </w:t>
      </w:r>
      <w:r w:rsidR="00B15573" w:rsidRPr="00F34B5B">
        <w:rPr>
          <w:rFonts w:ascii="Bookman Old Style" w:hAnsi="Bookman Old Style"/>
          <w:sz w:val="20"/>
          <w:szCs w:val="20"/>
        </w:rPr>
        <w:t xml:space="preserve">VSS </w:t>
      </w:r>
      <w:r w:rsidRPr="00F34B5B">
        <w:rPr>
          <w:rFonts w:ascii="Bookman Old Style" w:hAnsi="Bookman Old Style"/>
          <w:sz w:val="20"/>
          <w:szCs w:val="20"/>
        </w:rPr>
        <w:t>przedstawiono na rysunku 1</w:t>
      </w:r>
      <w:r w:rsidR="00F90877" w:rsidRPr="00F34B5B">
        <w:rPr>
          <w:rFonts w:ascii="Bookman Old Style" w:hAnsi="Bookman Old Style"/>
          <w:sz w:val="20"/>
          <w:szCs w:val="20"/>
        </w:rPr>
        <w:t>.</w:t>
      </w:r>
    </w:p>
    <w:p w14:paraId="7FF1B881" w14:textId="77777777" w:rsidR="00144036" w:rsidRPr="00F34B5B" w:rsidRDefault="00144036" w:rsidP="00A57BFF">
      <w:pPr>
        <w:overflowPunct w:val="0"/>
        <w:autoSpaceDE w:val="0"/>
        <w:autoSpaceDN w:val="0"/>
        <w:adjustRightInd w:val="0"/>
        <w:jc w:val="both"/>
        <w:rPr>
          <w:rFonts w:ascii="Bookman Old Style" w:hAnsi="Bookman Old Style"/>
          <w:sz w:val="20"/>
          <w:szCs w:val="20"/>
        </w:rPr>
      </w:pPr>
    </w:p>
    <w:p w14:paraId="5F67E9E1" w14:textId="73CE69C9" w:rsidR="00A57BFF" w:rsidRPr="00F34B5B" w:rsidRDefault="00A57BFF" w:rsidP="00A57BFF">
      <w:pPr>
        <w:overflowPunct w:val="0"/>
        <w:autoSpaceDE w:val="0"/>
        <w:autoSpaceDN w:val="0"/>
        <w:adjustRightInd w:val="0"/>
        <w:jc w:val="both"/>
        <w:rPr>
          <w:rFonts w:ascii="Bookman Old Style" w:hAnsi="Bookman Old Style"/>
          <w:sz w:val="20"/>
        </w:rPr>
      </w:pPr>
    </w:p>
    <w:p w14:paraId="30844650" w14:textId="77DEA096" w:rsidR="00A57BFF" w:rsidRPr="00F34B5B" w:rsidRDefault="000F60D5"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noProof/>
          <w:sz w:val="20"/>
          <w:szCs w:val="20"/>
        </w:rPr>
        <w:drawing>
          <wp:inline distT="0" distB="0" distL="0" distR="0" wp14:anchorId="3DCA25A6" wp14:editId="5FB75073">
            <wp:extent cx="4974336" cy="1762431"/>
            <wp:effectExtent l="0" t="0" r="0" b="9525"/>
            <wp:docPr id="32877824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15757" cy="1777107"/>
                    </a:xfrm>
                    <a:prstGeom prst="rect">
                      <a:avLst/>
                    </a:prstGeom>
                    <a:noFill/>
                    <a:ln>
                      <a:noFill/>
                    </a:ln>
                  </pic:spPr>
                </pic:pic>
              </a:graphicData>
            </a:graphic>
          </wp:inline>
        </w:drawing>
      </w:r>
    </w:p>
    <w:p w14:paraId="512C2D87" w14:textId="77777777" w:rsidR="007275CB" w:rsidRPr="00F34B5B" w:rsidRDefault="007275CB" w:rsidP="00A57BFF">
      <w:pPr>
        <w:overflowPunct w:val="0"/>
        <w:autoSpaceDE w:val="0"/>
        <w:autoSpaceDN w:val="0"/>
        <w:adjustRightInd w:val="0"/>
        <w:jc w:val="both"/>
        <w:rPr>
          <w:rFonts w:ascii="Bookman Old Style" w:hAnsi="Bookman Old Style"/>
          <w:sz w:val="20"/>
          <w:szCs w:val="20"/>
        </w:rPr>
      </w:pPr>
    </w:p>
    <w:p w14:paraId="5D8A4247" w14:textId="37029DBD" w:rsidR="00A57BFF" w:rsidRPr="00F34B5B" w:rsidRDefault="00A57BFF"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 xml:space="preserve">Rys. 1. Wymagane wartości zagęszczenia </w:t>
      </w:r>
      <w:r w:rsidR="000F632A" w:rsidRPr="00F34B5B">
        <w:rPr>
          <w:rFonts w:ascii="Bookman Old Style" w:hAnsi="Bookman Old Style"/>
          <w:sz w:val="20"/>
          <w:szCs w:val="20"/>
        </w:rPr>
        <w:t>(I</w:t>
      </w:r>
      <w:r w:rsidR="000F632A" w:rsidRPr="00F34B5B">
        <w:rPr>
          <w:rFonts w:ascii="Bookman Old Style" w:hAnsi="Bookman Old Style"/>
          <w:sz w:val="20"/>
          <w:szCs w:val="20"/>
          <w:vertAlign w:val="subscript"/>
        </w:rPr>
        <w:t>s</w:t>
      </w:r>
      <w:r w:rsidR="000F632A" w:rsidRPr="00F34B5B">
        <w:rPr>
          <w:rFonts w:ascii="Bookman Old Style" w:hAnsi="Bookman Old Style"/>
          <w:sz w:val="20"/>
          <w:szCs w:val="20"/>
        </w:rPr>
        <w:t xml:space="preserve">) </w:t>
      </w:r>
      <w:r w:rsidRPr="00F34B5B">
        <w:rPr>
          <w:rFonts w:ascii="Bookman Old Style" w:hAnsi="Bookman Old Style"/>
          <w:sz w:val="20"/>
          <w:szCs w:val="20"/>
        </w:rPr>
        <w:t xml:space="preserve">oraz nośności </w:t>
      </w:r>
      <w:r w:rsidR="000F632A" w:rsidRPr="00F34B5B">
        <w:rPr>
          <w:rFonts w:ascii="Bookman Old Style" w:hAnsi="Bookman Old Style"/>
          <w:sz w:val="20"/>
          <w:szCs w:val="20"/>
        </w:rPr>
        <w:t>(E</w:t>
      </w:r>
      <w:r w:rsidR="000F632A" w:rsidRPr="00F34B5B">
        <w:rPr>
          <w:rFonts w:ascii="Bookman Old Style" w:hAnsi="Bookman Old Style"/>
          <w:sz w:val="20"/>
          <w:szCs w:val="20"/>
          <w:vertAlign w:val="subscript"/>
        </w:rPr>
        <w:t>2</w:t>
      </w:r>
      <w:r w:rsidR="000F632A" w:rsidRPr="00F34B5B">
        <w:rPr>
          <w:rFonts w:ascii="Bookman Old Style" w:hAnsi="Bookman Old Style"/>
          <w:sz w:val="20"/>
          <w:szCs w:val="20"/>
        </w:rPr>
        <w:t xml:space="preserve">) </w:t>
      </w:r>
      <w:r w:rsidRPr="00F34B5B">
        <w:rPr>
          <w:rFonts w:ascii="Bookman Old Style" w:hAnsi="Bookman Old Style"/>
          <w:sz w:val="20"/>
          <w:szCs w:val="20"/>
        </w:rPr>
        <w:t>podłoża gruntowego w zależności od kategorii ruchu oraz rodzaju gruntu podłoża.</w:t>
      </w:r>
    </w:p>
    <w:p w14:paraId="1C1D881E" w14:textId="77777777" w:rsidR="00A57BFF" w:rsidRPr="00F34B5B" w:rsidRDefault="00A57BFF" w:rsidP="00A57BFF">
      <w:pPr>
        <w:overflowPunct w:val="0"/>
        <w:autoSpaceDE w:val="0"/>
        <w:autoSpaceDN w:val="0"/>
        <w:adjustRightInd w:val="0"/>
        <w:jc w:val="both"/>
        <w:rPr>
          <w:rFonts w:ascii="Bookman Old Style" w:hAnsi="Bookman Old Style"/>
          <w:sz w:val="20"/>
          <w:szCs w:val="20"/>
        </w:rPr>
      </w:pPr>
    </w:p>
    <w:p w14:paraId="1EC80977" w14:textId="75B7B53F" w:rsidR="00C255C6" w:rsidRPr="00F34B5B" w:rsidRDefault="00A57BFF"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lastRenderedPageBreak/>
        <w:t xml:space="preserve">Wartość wskaźnika zagęszczenia oraz wartości modułu </w:t>
      </w:r>
      <w:r w:rsidR="00F81BAF" w:rsidRPr="00F34B5B">
        <w:rPr>
          <w:rFonts w:ascii="Bookman Old Style" w:hAnsi="Bookman Old Style"/>
          <w:sz w:val="20"/>
          <w:szCs w:val="20"/>
        </w:rPr>
        <w:t>dynamicznego E</w:t>
      </w:r>
      <w:r w:rsidR="00F81BAF" w:rsidRPr="00F34B5B">
        <w:rPr>
          <w:rFonts w:ascii="Bookman Old Style" w:hAnsi="Bookman Old Style"/>
          <w:sz w:val="20"/>
          <w:szCs w:val="20"/>
          <w:vertAlign w:val="subscript"/>
        </w:rPr>
        <w:t>vd</w:t>
      </w:r>
      <w:r w:rsidR="00F81BAF" w:rsidRPr="00F34B5B">
        <w:rPr>
          <w:rFonts w:ascii="Bookman Old Style" w:hAnsi="Bookman Old Style"/>
          <w:sz w:val="20"/>
          <w:szCs w:val="20"/>
        </w:rPr>
        <w:t xml:space="preserve"> w porównaniu do statycznego modułu </w:t>
      </w:r>
      <w:r w:rsidRPr="00F34B5B">
        <w:rPr>
          <w:rFonts w:ascii="Bookman Old Style" w:hAnsi="Bookman Old Style"/>
          <w:sz w:val="20"/>
          <w:szCs w:val="20"/>
        </w:rPr>
        <w:t>wtórnego E</w:t>
      </w:r>
      <w:r w:rsidRPr="00F34B5B">
        <w:rPr>
          <w:rFonts w:ascii="Bookman Old Style" w:hAnsi="Bookman Old Style"/>
          <w:sz w:val="20"/>
          <w:szCs w:val="20"/>
          <w:vertAlign w:val="subscript"/>
        </w:rPr>
        <w:t>2</w:t>
      </w:r>
      <w:r w:rsidRPr="00F34B5B">
        <w:rPr>
          <w:rFonts w:ascii="Bookman Old Style" w:hAnsi="Bookman Old Style"/>
          <w:sz w:val="20"/>
          <w:szCs w:val="20"/>
        </w:rPr>
        <w:t xml:space="preserve"> należy przyjmować zgodnie z rysunkiem 1</w:t>
      </w:r>
      <w:r w:rsidR="00C255C6" w:rsidRPr="00F34B5B">
        <w:rPr>
          <w:rFonts w:ascii="Bookman Old Style" w:hAnsi="Bookman Old Style"/>
          <w:sz w:val="20"/>
          <w:szCs w:val="20"/>
        </w:rPr>
        <w:t xml:space="preserve"> i tablicami 1a oraz 1b:</w:t>
      </w:r>
    </w:p>
    <w:p w14:paraId="067FE43E" w14:textId="77777777" w:rsidR="00C255C6" w:rsidRPr="00F34B5B" w:rsidRDefault="00C255C6" w:rsidP="00A57BFF">
      <w:pPr>
        <w:overflowPunct w:val="0"/>
        <w:autoSpaceDE w:val="0"/>
        <w:autoSpaceDN w:val="0"/>
        <w:adjustRightInd w:val="0"/>
        <w:jc w:val="both"/>
        <w:rPr>
          <w:rFonts w:ascii="Bookman Old Style" w:hAnsi="Bookman Old Style"/>
          <w:sz w:val="14"/>
          <w:szCs w:val="14"/>
        </w:rPr>
      </w:pPr>
    </w:p>
    <w:p w14:paraId="74720E91" w14:textId="7DC0EB49" w:rsidR="00C255C6" w:rsidRPr="00F34B5B" w:rsidRDefault="00C255C6" w:rsidP="00C255C6">
      <w:pPr>
        <w:pStyle w:val="StandardowytekstZnak"/>
        <w:keepNext/>
        <w:keepLines/>
        <w:spacing w:before="120"/>
        <w:jc w:val="center"/>
        <w:rPr>
          <w:rFonts w:ascii="Bookman Old Style" w:hAnsi="Bookman Old Style"/>
        </w:rPr>
      </w:pPr>
      <w:r w:rsidRPr="00F34B5B">
        <w:rPr>
          <w:rFonts w:ascii="Bookman Old Style" w:hAnsi="Bookman Old Style"/>
          <w:b/>
        </w:rPr>
        <w:t>Tablica 1a</w:t>
      </w:r>
      <w:r w:rsidRPr="00F34B5B">
        <w:rPr>
          <w:rFonts w:ascii="Bookman Old Style" w:hAnsi="Bookman Old Style"/>
        </w:rPr>
        <w:t>. Minimalne wartości wskaźnika zagęszczenia podłoża nasypów</w:t>
      </w:r>
    </w:p>
    <w:p w14:paraId="4211E154" w14:textId="77777777" w:rsidR="00CE375E" w:rsidRPr="00F34B5B" w:rsidRDefault="00CE375E" w:rsidP="00C255C6">
      <w:pPr>
        <w:pStyle w:val="StandardowytekstZnak"/>
        <w:keepNext/>
        <w:keepLines/>
        <w:spacing w:before="120"/>
        <w:jc w:val="center"/>
        <w:rPr>
          <w:rFonts w:ascii="Bookman Old Style" w:hAnsi="Bookman Old Style"/>
          <w:sz w:val="10"/>
          <w:szCs w:val="10"/>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82"/>
        <w:gridCol w:w="2188"/>
        <w:gridCol w:w="2434"/>
      </w:tblGrid>
      <w:tr w:rsidR="00CE375E" w:rsidRPr="00F34B5B" w14:paraId="00A7186E" w14:textId="77777777" w:rsidTr="001B7656">
        <w:trPr>
          <w:trHeight w:val="470"/>
          <w:jc w:val="center"/>
        </w:trPr>
        <w:tc>
          <w:tcPr>
            <w:tcW w:w="2544" w:type="dxa"/>
            <w:vMerge w:val="restart"/>
            <w:tcBorders>
              <w:top w:val="single" w:sz="4" w:space="0" w:color="auto"/>
              <w:left w:val="single" w:sz="6" w:space="0" w:color="auto"/>
              <w:right w:val="single" w:sz="6" w:space="0" w:color="auto"/>
            </w:tcBorders>
            <w:vAlign w:val="center"/>
          </w:tcPr>
          <w:p w14:paraId="56A5BF0B" w14:textId="77777777" w:rsidR="00CE375E" w:rsidRPr="00F34B5B" w:rsidRDefault="00CE375E" w:rsidP="001B7656">
            <w:pPr>
              <w:pStyle w:val="StandardowytekstZnak"/>
              <w:keepNext/>
              <w:keepLines/>
              <w:jc w:val="center"/>
              <w:rPr>
                <w:rFonts w:ascii="Bookman Old Style" w:hAnsi="Bookman Old Style"/>
              </w:rPr>
            </w:pPr>
            <w:r w:rsidRPr="00F34B5B">
              <w:rPr>
                <w:rFonts w:ascii="Bookman Old Style" w:hAnsi="Bookman Old Style"/>
              </w:rPr>
              <w:t>Strefa korpusu</w:t>
            </w:r>
          </w:p>
        </w:tc>
        <w:tc>
          <w:tcPr>
            <w:tcW w:w="6804" w:type="dxa"/>
            <w:gridSpan w:val="3"/>
            <w:tcBorders>
              <w:top w:val="single" w:sz="4" w:space="0" w:color="auto"/>
              <w:left w:val="single" w:sz="6" w:space="0" w:color="auto"/>
              <w:bottom w:val="single" w:sz="6" w:space="0" w:color="auto"/>
              <w:right w:val="single" w:sz="6" w:space="0" w:color="auto"/>
            </w:tcBorders>
            <w:vAlign w:val="center"/>
          </w:tcPr>
          <w:p w14:paraId="2F9EF844" w14:textId="77777777" w:rsidR="00CE375E" w:rsidRPr="00F34B5B" w:rsidRDefault="00CE375E" w:rsidP="001B7656">
            <w:pPr>
              <w:pStyle w:val="StandardowytekstZnak"/>
              <w:keepNext/>
              <w:keepLines/>
              <w:jc w:val="center"/>
              <w:rPr>
                <w:rFonts w:ascii="Bookman Old Style" w:hAnsi="Bookman Old Style"/>
              </w:rPr>
            </w:pPr>
            <w:r w:rsidRPr="00F34B5B">
              <w:rPr>
                <w:rFonts w:ascii="Bookman Old Style" w:hAnsi="Bookman Old Style"/>
              </w:rPr>
              <w:t>Minimalna wartość I</w:t>
            </w:r>
            <w:r w:rsidRPr="00F34B5B">
              <w:rPr>
                <w:rFonts w:ascii="Bookman Old Style" w:hAnsi="Bookman Old Style"/>
                <w:vertAlign w:val="subscript"/>
              </w:rPr>
              <w:t xml:space="preserve">s </w:t>
            </w:r>
            <w:r w:rsidRPr="00F34B5B">
              <w:rPr>
                <w:rFonts w:ascii="Bookman Old Style" w:hAnsi="Bookman Old Style"/>
              </w:rPr>
              <w:t>dla:</w:t>
            </w:r>
          </w:p>
        </w:tc>
      </w:tr>
      <w:tr w:rsidR="00CE375E" w:rsidRPr="00F34B5B" w14:paraId="6C3A3988" w14:textId="77777777" w:rsidTr="00853434">
        <w:trPr>
          <w:trHeight w:val="402"/>
          <w:jc w:val="center"/>
        </w:trPr>
        <w:tc>
          <w:tcPr>
            <w:tcW w:w="2544" w:type="dxa"/>
            <w:vMerge/>
            <w:tcBorders>
              <w:left w:val="single" w:sz="6" w:space="0" w:color="auto"/>
              <w:right w:val="single" w:sz="6" w:space="0" w:color="auto"/>
            </w:tcBorders>
            <w:vAlign w:val="center"/>
          </w:tcPr>
          <w:p w14:paraId="2560F1A1" w14:textId="77777777" w:rsidR="00CE375E" w:rsidRPr="00F34B5B" w:rsidRDefault="00CE375E" w:rsidP="001B7656">
            <w:pPr>
              <w:pStyle w:val="StandardowytekstZnak"/>
              <w:keepNext/>
              <w:keepLines/>
              <w:jc w:val="center"/>
              <w:rPr>
                <w:rFonts w:ascii="Bookman Old Style" w:hAnsi="Bookman Old Style"/>
              </w:rPr>
            </w:pPr>
          </w:p>
        </w:tc>
        <w:tc>
          <w:tcPr>
            <w:tcW w:w="2182" w:type="dxa"/>
            <w:tcBorders>
              <w:top w:val="single" w:sz="4" w:space="0" w:color="auto"/>
              <w:left w:val="single" w:sz="6" w:space="0" w:color="auto"/>
              <w:bottom w:val="single" w:sz="6" w:space="0" w:color="auto"/>
              <w:right w:val="single" w:sz="4" w:space="0" w:color="auto"/>
            </w:tcBorders>
            <w:vAlign w:val="center"/>
          </w:tcPr>
          <w:p w14:paraId="132273C6" w14:textId="37FCC59C" w:rsidR="00CE375E" w:rsidRPr="00F34B5B" w:rsidRDefault="00CE375E" w:rsidP="001B765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Droga dla pieszych i rowerów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08EFB71D" w14:textId="77777777" w:rsidR="00CE375E" w:rsidRPr="00F34B5B" w:rsidRDefault="00CE375E" w:rsidP="001B765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1-2</w:t>
            </w:r>
          </w:p>
          <w:p w14:paraId="2BC04072" w14:textId="5DFDD092" w:rsidR="0000519F" w:rsidRPr="00F34B5B" w:rsidRDefault="0000519F" w:rsidP="001B765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oraz zjazdy</w:t>
            </w:r>
          </w:p>
        </w:tc>
        <w:tc>
          <w:tcPr>
            <w:tcW w:w="2434" w:type="dxa"/>
            <w:tcBorders>
              <w:top w:val="single" w:sz="4" w:space="0" w:color="auto"/>
              <w:left w:val="single" w:sz="4" w:space="0" w:color="auto"/>
              <w:bottom w:val="single" w:sz="6" w:space="0" w:color="auto"/>
              <w:right w:val="single" w:sz="6" w:space="0" w:color="auto"/>
            </w:tcBorders>
            <w:vAlign w:val="center"/>
          </w:tcPr>
          <w:p w14:paraId="09751884" w14:textId="77777777" w:rsidR="00CE375E" w:rsidRPr="00F34B5B" w:rsidRDefault="00CE375E" w:rsidP="001B765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3-4</w:t>
            </w:r>
          </w:p>
        </w:tc>
      </w:tr>
      <w:tr w:rsidR="00CE375E" w:rsidRPr="00F34B5B" w14:paraId="4C685513" w14:textId="77777777" w:rsidTr="00853434">
        <w:trPr>
          <w:trHeight w:val="283"/>
          <w:jc w:val="center"/>
        </w:trPr>
        <w:tc>
          <w:tcPr>
            <w:tcW w:w="2544" w:type="dxa"/>
            <w:vMerge/>
            <w:tcBorders>
              <w:left w:val="single" w:sz="6" w:space="0" w:color="auto"/>
              <w:bottom w:val="single" w:sz="4" w:space="0" w:color="auto"/>
              <w:right w:val="single" w:sz="6" w:space="0" w:color="auto"/>
            </w:tcBorders>
            <w:vAlign w:val="center"/>
          </w:tcPr>
          <w:p w14:paraId="2EA15306" w14:textId="74EFDD42" w:rsidR="00CE375E" w:rsidRPr="00F34B5B" w:rsidRDefault="00CE375E" w:rsidP="001B7656">
            <w:pPr>
              <w:pStyle w:val="StandardowytekstZnak"/>
              <w:keepNext/>
              <w:keepLines/>
              <w:jc w:val="center"/>
              <w:rPr>
                <w:rFonts w:ascii="Bookman Old Style" w:hAnsi="Bookman Old Style"/>
              </w:rPr>
            </w:pPr>
          </w:p>
        </w:tc>
        <w:tc>
          <w:tcPr>
            <w:tcW w:w="2182" w:type="dxa"/>
            <w:tcBorders>
              <w:top w:val="single" w:sz="6" w:space="0" w:color="auto"/>
              <w:left w:val="single" w:sz="6" w:space="0" w:color="auto"/>
              <w:bottom w:val="single" w:sz="6" w:space="0" w:color="auto"/>
              <w:right w:val="single" w:sz="4" w:space="0" w:color="auto"/>
            </w:tcBorders>
            <w:vAlign w:val="center"/>
          </w:tcPr>
          <w:p w14:paraId="7DFACED0" w14:textId="784FEC49" w:rsidR="00CE375E" w:rsidRPr="00F34B5B" w:rsidRDefault="00CE375E" w:rsidP="001B7656">
            <w:pPr>
              <w:pStyle w:val="StandardowytekstZnak"/>
              <w:keepNext/>
              <w:keepLines/>
              <w:jc w:val="center"/>
              <w:rPr>
                <w:rFonts w:ascii="Bookman Old Style" w:hAnsi="Bookman Old Style"/>
              </w:rPr>
            </w:pPr>
            <w:r w:rsidRPr="00F34B5B">
              <w:rPr>
                <w:rFonts w:ascii="Bookman Old Style" w:hAnsi="Bookman Old Style"/>
              </w:rPr>
              <w:t>0,92</w:t>
            </w:r>
          </w:p>
        </w:tc>
        <w:tc>
          <w:tcPr>
            <w:tcW w:w="2188" w:type="dxa"/>
            <w:tcBorders>
              <w:top w:val="single" w:sz="6" w:space="0" w:color="auto"/>
              <w:left w:val="single" w:sz="4" w:space="0" w:color="auto"/>
              <w:bottom w:val="single" w:sz="6" w:space="0" w:color="auto"/>
              <w:right w:val="single" w:sz="4" w:space="0" w:color="auto"/>
            </w:tcBorders>
            <w:vAlign w:val="center"/>
          </w:tcPr>
          <w:p w14:paraId="19DD0643" w14:textId="311EF00F" w:rsidR="00CE375E" w:rsidRPr="00F34B5B" w:rsidRDefault="00CE375E" w:rsidP="001B7656">
            <w:pPr>
              <w:pStyle w:val="StandardowytekstZnak"/>
              <w:keepNext/>
              <w:keepLines/>
              <w:jc w:val="center"/>
              <w:rPr>
                <w:rFonts w:ascii="Bookman Old Style" w:hAnsi="Bookman Old Style"/>
              </w:rPr>
            </w:pPr>
            <w:r w:rsidRPr="00F34B5B">
              <w:rPr>
                <w:rFonts w:ascii="Bookman Old Style" w:hAnsi="Bookman Old Style"/>
              </w:rPr>
              <w:t>0,92</w:t>
            </w:r>
          </w:p>
        </w:tc>
        <w:tc>
          <w:tcPr>
            <w:tcW w:w="2434" w:type="dxa"/>
            <w:tcBorders>
              <w:top w:val="single" w:sz="6" w:space="0" w:color="auto"/>
              <w:left w:val="single" w:sz="4" w:space="0" w:color="auto"/>
              <w:bottom w:val="single" w:sz="6" w:space="0" w:color="auto"/>
              <w:right w:val="single" w:sz="6" w:space="0" w:color="auto"/>
            </w:tcBorders>
            <w:vAlign w:val="center"/>
          </w:tcPr>
          <w:p w14:paraId="4F460631" w14:textId="6EA25134" w:rsidR="00CE375E" w:rsidRPr="00F34B5B" w:rsidRDefault="00CE375E" w:rsidP="001B7656">
            <w:pPr>
              <w:pStyle w:val="StandardowytekstZnak"/>
              <w:keepNext/>
              <w:keepLines/>
              <w:jc w:val="center"/>
              <w:rPr>
                <w:rFonts w:ascii="Bookman Old Style" w:hAnsi="Bookman Old Style"/>
              </w:rPr>
            </w:pPr>
            <w:r w:rsidRPr="00F34B5B">
              <w:rPr>
                <w:rFonts w:ascii="Bookman Old Style" w:hAnsi="Bookman Old Style"/>
              </w:rPr>
              <w:t>0,95</w:t>
            </w:r>
          </w:p>
        </w:tc>
      </w:tr>
    </w:tbl>
    <w:p w14:paraId="59949A7C" w14:textId="77777777" w:rsidR="00C255C6" w:rsidRPr="00F34B5B" w:rsidRDefault="00C255C6" w:rsidP="00C255C6">
      <w:pPr>
        <w:pStyle w:val="StandardowytekstZnak"/>
        <w:spacing w:before="240"/>
        <w:rPr>
          <w:rFonts w:ascii="Bookman Old Style" w:hAnsi="Bookman Old Style"/>
        </w:rPr>
      </w:pPr>
    </w:p>
    <w:p w14:paraId="34F7660F" w14:textId="450C7ACD" w:rsidR="00C255C6" w:rsidRPr="00F34B5B" w:rsidRDefault="00C255C6" w:rsidP="00C255C6">
      <w:pPr>
        <w:pStyle w:val="StandardowytekstZnak"/>
        <w:keepNext/>
        <w:keepLines/>
        <w:spacing w:before="120"/>
        <w:jc w:val="center"/>
        <w:rPr>
          <w:rFonts w:ascii="Bookman Old Style" w:hAnsi="Bookman Old Style"/>
        </w:rPr>
      </w:pPr>
      <w:r w:rsidRPr="00F34B5B">
        <w:rPr>
          <w:rFonts w:ascii="Bookman Old Style" w:hAnsi="Bookman Old Style"/>
          <w:b/>
        </w:rPr>
        <w:t>Tablica 1b</w:t>
      </w:r>
      <w:r w:rsidRPr="00F34B5B">
        <w:rPr>
          <w:rFonts w:ascii="Bookman Old Style" w:hAnsi="Bookman Old Style"/>
        </w:rPr>
        <w:t xml:space="preserve">. Wartości </w:t>
      </w:r>
      <w:r w:rsidR="00A95B63" w:rsidRPr="00F34B5B">
        <w:rPr>
          <w:rFonts w:ascii="Bookman Old Style" w:hAnsi="Bookman Old Style"/>
        </w:rPr>
        <w:t xml:space="preserve">zagęszczenia i </w:t>
      </w:r>
      <w:r w:rsidRPr="00F34B5B">
        <w:rPr>
          <w:rFonts w:ascii="Bookman Old Style" w:hAnsi="Bookman Old Style"/>
        </w:rPr>
        <w:t xml:space="preserve">nośności </w:t>
      </w:r>
      <w:r w:rsidR="006807A9" w:rsidRPr="00F34B5B">
        <w:rPr>
          <w:rFonts w:ascii="Bookman Old Style" w:hAnsi="Bookman Old Style"/>
        </w:rPr>
        <w:t>E</w:t>
      </w:r>
      <w:r w:rsidR="006807A9" w:rsidRPr="00F34B5B">
        <w:rPr>
          <w:rFonts w:ascii="Bookman Old Style" w:hAnsi="Bookman Old Style"/>
          <w:vertAlign w:val="subscript"/>
        </w:rPr>
        <w:t>vd</w:t>
      </w:r>
      <w:r w:rsidR="006807A9" w:rsidRPr="00F34B5B">
        <w:rPr>
          <w:rFonts w:ascii="Bookman Old Style" w:hAnsi="Bookman Old Style"/>
        </w:rPr>
        <w:t xml:space="preserve"> </w:t>
      </w:r>
      <w:r w:rsidRPr="00F34B5B">
        <w:rPr>
          <w:rFonts w:ascii="Bookman Old Style" w:hAnsi="Bookman Old Style"/>
        </w:rPr>
        <w:t xml:space="preserve">na gruncie rodzimym </w:t>
      </w:r>
      <w:r w:rsidR="00CE375E" w:rsidRPr="00F34B5B">
        <w:rPr>
          <w:rFonts w:ascii="Bookman Old Style" w:hAnsi="Bookman Old Style"/>
        </w:rPr>
        <w:t>podłoża nasypów</w:t>
      </w:r>
    </w:p>
    <w:p w14:paraId="25D9A12B" w14:textId="77777777" w:rsidR="00CE375E" w:rsidRPr="00F34B5B" w:rsidRDefault="00CE375E" w:rsidP="00C255C6">
      <w:pPr>
        <w:pStyle w:val="StandardowytekstZnak"/>
        <w:keepNext/>
        <w:keepLines/>
        <w:spacing w:before="120"/>
        <w:jc w:val="center"/>
        <w:rPr>
          <w:rFonts w:ascii="Bookman Old Style" w:hAnsi="Bookman Old Style"/>
          <w:sz w:val="8"/>
          <w:szCs w:val="8"/>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82"/>
        <w:gridCol w:w="2188"/>
        <w:gridCol w:w="2434"/>
      </w:tblGrid>
      <w:tr w:rsidR="004B6716" w:rsidRPr="00F34B5B" w14:paraId="055E1607" w14:textId="77777777" w:rsidTr="001B7656">
        <w:trPr>
          <w:trHeight w:val="470"/>
          <w:jc w:val="center"/>
        </w:trPr>
        <w:tc>
          <w:tcPr>
            <w:tcW w:w="2544" w:type="dxa"/>
            <w:vMerge w:val="restart"/>
            <w:tcBorders>
              <w:top w:val="single" w:sz="4" w:space="0" w:color="auto"/>
              <w:left w:val="single" w:sz="6" w:space="0" w:color="auto"/>
              <w:right w:val="single" w:sz="6" w:space="0" w:color="auto"/>
            </w:tcBorders>
            <w:vAlign w:val="center"/>
          </w:tcPr>
          <w:p w14:paraId="12130D37" w14:textId="2668B544"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E</w:t>
            </w:r>
            <w:r w:rsidRPr="00F34B5B">
              <w:rPr>
                <w:rFonts w:ascii="Bookman Old Style" w:hAnsi="Bookman Old Style"/>
                <w:vertAlign w:val="subscript"/>
              </w:rPr>
              <w:t>vd</w:t>
            </w:r>
            <w:r w:rsidRPr="00F34B5B">
              <w:rPr>
                <w:rFonts w:ascii="Bookman Old Style" w:hAnsi="Bookman Old Style"/>
              </w:rPr>
              <w:t xml:space="preserve">  /  E</w:t>
            </w:r>
            <w:r w:rsidRPr="00F34B5B">
              <w:rPr>
                <w:rFonts w:ascii="Bookman Old Style" w:hAnsi="Bookman Old Style"/>
                <w:vertAlign w:val="subscript"/>
              </w:rPr>
              <w:t>2</w:t>
            </w:r>
          </w:p>
        </w:tc>
        <w:tc>
          <w:tcPr>
            <w:tcW w:w="6804" w:type="dxa"/>
            <w:gridSpan w:val="3"/>
            <w:tcBorders>
              <w:top w:val="single" w:sz="4" w:space="0" w:color="auto"/>
              <w:left w:val="single" w:sz="6" w:space="0" w:color="auto"/>
              <w:bottom w:val="single" w:sz="6" w:space="0" w:color="auto"/>
              <w:right w:val="single" w:sz="6" w:space="0" w:color="auto"/>
            </w:tcBorders>
            <w:vAlign w:val="center"/>
          </w:tcPr>
          <w:p w14:paraId="7FEEC08E" w14:textId="2349B32B"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Minimalna wartość E</w:t>
            </w:r>
            <w:r w:rsidRPr="00F34B5B">
              <w:rPr>
                <w:rFonts w:ascii="Bookman Old Style" w:hAnsi="Bookman Old Style"/>
                <w:vertAlign w:val="subscript"/>
              </w:rPr>
              <w:t>vd</w:t>
            </w:r>
            <w:r w:rsidRPr="00F34B5B">
              <w:rPr>
                <w:rFonts w:ascii="Bookman Old Style" w:hAnsi="Bookman Old Style"/>
              </w:rPr>
              <w:t xml:space="preserve"> / E</w:t>
            </w:r>
            <w:r w:rsidRPr="00F34B5B">
              <w:rPr>
                <w:rFonts w:ascii="Bookman Old Style" w:hAnsi="Bookman Old Style"/>
                <w:vertAlign w:val="subscript"/>
              </w:rPr>
              <w:t>2 (</w:t>
            </w:r>
            <w:r w:rsidRPr="00F34B5B">
              <w:rPr>
                <w:rFonts w:ascii="Bookman Old Style" w:hAnsi="Bookman Old Style"/>
              </w:rPr>
              <w:t>zamiennie)</w:t>
            </w:r>
            <w:r w:rsidRPr="00F34B5B">
              <w:rPr>
                <w:rFonts w:ascii="Bookman Old Style" w:hAnsi="Bookman Old Style"/>
                <w:vertAlign w:val="subscript"/>
              </w:rPr>
              <w:t xml:space="preserve"> </w:t>
            </w:r>
            <w:r w:rsidRPr="00F34B5B">
              <w:rPr>
                <w:rFonts w:ascii="Bookman Old Style" w:hAnsi="Bookman Old Style"/>
              </w:rPr>
              <w:t>dla:</w:t>
            </w:r>
          </w:p>
        </w:tc>
      </w:tr>
      <w:tr w:rsidR="004B6716" w:rsidRPr="00F34B5B" w14:paraId="3AF4029B" w14:textId="77777777" w:rsidTr="001B7656">
        <w:trPr>
          <w:trHeight w:val="402"/>
          <w:jc w:val="center"/>
        </w:trPr>
        <w:tc>
          <w:tcPr>
            <w:tcW w:w="2544" w:type="dxa"/>
            <w:vMerge/>
            <w:tcBorders>
              <w:left w:val="single" w:sz="6" w:space="0" w:color="auto"/>
              <w:bottom w:val="single" w:sz="4" w:space="0" w:color="auto"/>
              <w:right w:val="single" w:sz="6" w:space="0" w:color="auto"/>
            </w:tcBorders>
            <w:vAlign w:val="center"/>
          </w:tcPr>
          <w:p w14:paraId="057FC990" w14:textId="77777777" w:rsidR="004B6716" w:rsidRPr="00F34B5B" w:rsidRDefault="004B6716" w:rsidP="004B6716">
            <w:pPr>
              <w:pStyle w:val="StandardowytekstZnak"/>
              <w:keepNext/>
              <w:keepLines/>
              <w:jc w:val="center"/>
              <w:rPr>
                <w:rFonts w:ascii="Bookman Old Style" w:hAnsi="Bookman Old Style"/>
              </w:rPr>
            </w:pPr>
          </w:p>
        </w:tc>
        <w:tc>
          <w:tcPr>
            <w:tcW w:w="2182" w:type="dxa"/>
            <w:tcBorders>
              <w:top w:val="single" w:sz="4" w:space="0" w:color="auto"/>
              <w:left w:val="single" w:sz="6" w:space="0" w:color="auto"/>
              <w:bottom w:val="single" w:sz="6" w:space="0" w:color="auto"/>
              <w:right w:val="single" w:sz="4" w:space="0" w:color="auto"/>
            </w:tcBorders>
            <w:vAlign w:val="center"/>
          </w:tcPr>
          <w:p w14:paraId="12644393" w14:textId="6C237F53" w:rsidR="004B6716" w:rsidRPr="00F34B5B" w:rsidRDefault="004B6716" w:rsidP="004B671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Droga dla pieszych i rowerów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2B8122F7" w14:textId="413F1571" w:rsidR="004B6716" w:rsidRPr="00F34B5B" w:rsidRDefault="004B6716" w:rsidP="004B671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1-2</w:t>
            </w:r>
          </w:p>
        </w:tc>
        <w:tc>
          <w:tcPr>
            <w:tcW w:w="2434" w:type="dxa"/>
            <w:tcBorders>
              <w:top w:val="single" w:sz="4" w:space="0" w:color="auto"/>
              <w:left w:val="single" w:sz="4" w:space="0" w:color="auto"/>
              <w:bottom w:val="single" w:sz="6" w:space="0" w:color="auto"/>
              <w:right w:val="single" w:sz="6" w:space="0" w:color="auto"/>
            </w:tcBorders>
            <w:vAlign w:val="center"/>
          </w:tcPr>
          <w:p w14:paraId="142718ED" w14:textId="77777777" w:rsidR="004B6716" w:rsidRPr="00F34B5B" w:rsidRDefault="004B6716" w:rsidP="004B6716">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3-4</w:t>
            </w:r>
          </w:p>
        </w:tc>
      </w:tr>
      <w:tr w:rsidR="004B6716" w:rsidRPr="00F34B5B" w14:paraId="161F7836" w14:textId="77777777" w:rsidTr="00B06B72">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13811655" w14:textId="2610DAF4"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Na gruncie spoistym</w:t>
            </w:r>
          </w:p>
        </w:tc>
        <w:tc>
          <w:tcPr>
            <w:tcW w:w="2182" w:type="dxa"/>
            <w:tcBorders>
              <w:top w:val="single" w:sz="6" w:space="0" w:color="auto"/>
              <w:left w:val="single" w:sz="4" w:space="0" w:color="auto"/>
              <w:bottom w:val="single" w:sz="6" w:space="0" w:color="auto"/>
              <w:right w:val="single" w:sz="4" w:space="0" w:color="auto"/>
            </w:tcBorders>
            <w:vAlign w:val="center"/>
          </w:tcPr>
          <w:p w14:paraId="5A4284D5" w14:textId="552B55B4"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10  /  20</w:t>
            </w:r>
          </w:p>
        </w:tc>
        <w:tc>
          <w:tcPr>
            <w:tcW w:w="2188" w:type="dxa"/>
            <w:tcBorders>
              <w:top w:val="single" w:sz="6" w:space="0" w:color="auto"/>
              <w:left w:val="single" w:sz="4" w:space="0" w:color="auto"/>
              <w:bottom w:val="single" w:sz="6" w:space="0" w:color="auto"/>
              <w:right w:val="single" w:sz="4" w:space="0" w:color="auto"/>
            </w:tcBorders>
            <w:vAlign w:val="center"/>
          </w:tcPr>
          <w:p w14:paraId="44EEC3EF" w14:textId="6B2363E1"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10  /  20</w:t>
            </w:r>
          </w:p>
        </w:tc>
        <w:tc>
          <w:tcPr>
            <w:tcW w:w="2434" w:type="dxa"/>
            <w:tcBorders>
              <w:top w:val="single" w:sz="6" w:space="0" w:color="auto"/>
              <w:left w:val="single" w:sz="4" w:space="0" w:color="auto"/>
              <w:bottom w:val="single" w:sz="6" w:space="0" w:color="auto"/>
              <w:right w:val="single" w:sz="6" w:space="0" w:color="auto"/>
            </w:tcBorders>
            <w:vAlign w:val="center"/>
          </w:tcPr>
          <w:p w14:paraId="16DF7886" w14:textId="7F9AF643"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15  /  25</w:t>
            </w:r>
          </w:p>
        </w:tc>
      </w:tr>
      <w:tr w:rsidR="004B6716" w:rsidRPr="00F34B5B" w14:paraId="325C6B19" w14:textId="77777777" w:rsidTr="001B7656">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1E4AD360" w14:textId="0F350DB0"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Na gruncie niespoistym</w:t>
            </w:r>
          </w:p>
        </w:tc>
        <w:tc>
          <w:tcPr>
            <w:tcW w:w="2182" w:type="dxa"/>
            <w:tcBorders>
              <w:top w:val="single" w:sz="6" w:space="0" w:color="auto"/>
              <w:left w:val="single" w:sz="4" w:space="0" w:color="auto"/>
              <w:bottom w:val="single" w:sz="6" w:space="0" w:color="auto"/>
              <w:right w:val="single" w:sz="4" w:space="0" w:color="auto"/>
            </w:tcBorders>
            <w:vAlign w:val="center"/>
          </w:tcPr>
          <w:p w14:paraId="379BC7EB" w14:textId="1EAD8581"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15  /  30</w:t>
            </w:r>
          </w:p>
        </w:tc>
        <w:tc>
          <w:tcPr>
            <w:tcW w:w="2188" w:type="dxa"/>
            <w:tcBorders>
              <w:top w:val="single" w:sz="6" w:space="0" w:color="auto"/>
              <w:left w:val="single" w:sz="4" w:space="0" w:color="auto"/>
              <w:bottom w:val="single" w:sz="6" w:space="0" w:color="auto"/>
              <w:right w:val="single" w:sz="4" w:space="0" w:color="auto"/>
            </w:tcBorders>
            <w:vAlign w:val="center"/>
          </w:tcPr>
          <w:p w14:paraId="6E514521" w14:textId="58554325"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15  /  30</w:t>
            </w:r>
          </w:p>
        </w:tc>
        <w:tc>
          <w:tcPr>
            <w:tcW w:w="2434" w:type="dxa"/>
            <w:tcBorders>
              <w:top w:val="single" w:sz="6" w:space="0" w:color="auto"/>
              <w:left w:val="single" w:sz="4" w:space="0" w:color="auto"/>
              <w:bottom w:val="single" w:sz="6" w:space="0" w:color="auto"/>
              <w:right w:val="single" w:sz="6" w:space="0" w:color="auto"/>
            </w:tcBorders>
            <w:vAlign w:val="center"/>
          </w:tcPr>
          <w:p w14:paraId="3ED5FD1F" w14:textId="6049DC43" w:rsidR="004B6716" w:rsidRPr="00F34B5B" w:rsidRDefault="004B6716" w:rsidP="004B6716">
            <w:pPr>
              <w:pStyle w:val="StandardowytekstZnak"/>
              <w:keepNext/>
              <w:keepLines/>
              <w:jc w:val="center"/>
              <w:rPr>
                <w:rFonts w:ascii="Bookman Old Style" w:hAnsi="Bookman Old Style"/>
              </w:rPr>
            </w:pPr>
            <w:r w:rsidRPr="00F34B5B">
              <w:rPr>
                <w:rFonts w:ascii="Bookman Old Style" w:hAnsi="Bookman Old Style"/>
              </w:rPr>
              <w:t>20  /  35</w:t>
            </w:r>
          </w:p>
        </w:tc>
      </w:tr>
    </w:tbl>
    <w:p w14:paraId="7A57C18D" w14:textId="77777777" w:rsidR="00C255C6" w:rsidRPr="00F34B5B" w:rsidRDefault="00C255C6" w:rsidP="00A57BFF">
      <w:pPr>
        <w:overflowPunct w:val="0"/>
        <w:autoSpaceDE w:val="0"/>
        <w:autoSpaceDN w:val="0"/>
        <w:adjustRightInd w:val="0"/>
        <w:jc w:val="both"/>
        <w:rPr>
          <w:rFonts w:ascii="Bookman Old Style" w:hAnsi="Bookman Old Style"/>
          <w:sz w:val="20"/>
          <w:szCs w:val="20"/>
        </w:rPr>
      </w:pPr>
    </w:p>
    <w:p w14:paraId="508EAD32" w14:textId="77777777" w:rsidR="000F632A" w:rsidRPr="00F34B5B" w:rsidRDefault="000F632A" w:rsidP="00A57BFF">
      <w:pPr>
        <w:overflowPunct w:val="0"/>
        <w:autoSpaceDE w:val="0"/>
        <w:autoSpaceDN w:val="0"/>
        <w:adjustRightInd w:val="0"/>
        <w:jc w:val="both"/>
        <w:rPr>
          <w:rFonts w:ascii="Bookman Old Style" w:hAnsi="Bookman Old Style"/>
          <w:sz w:val="20"/>
          <w:szCs w:val="20"/>
        </w:rPr>
      </w:pPr>
    </w:p>
    <w:p w14:paraId="74F92BC0" w14:textId="1D565AC4" w:rsidR="00B15573" w:rsidRPr="00F34B5B" w:rsidRDefault="00B15573"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Wyniki badania modułu dynamicznego E</w:t>
      </w:r>
      <w:r w:rsidRPr="00F34B5B">
        <w:rPr>
          <w:rFonts w:ascii="Bookman Old Style" w:hAnsi="Bookman Old Style"/>
          <w:sz w:val="20"/>
          <w:szCs w:val="20"/>
          <w:vertAlign w:val="subscript"/>
        </w:rPr>
        <w:t>vd</w:t>
      </w:r>
      <w:r w:rsidRPr="00F34B5B">
        <w:rPr>
          <w:rFonts w:ascii="Bookman Old Style" w:hAnsi="Bookman Old Style"/>
          <w:sz w:val="20"/>
          <w:szCs w:val="20"/>
        </w:rPr>
        <w:t xml:space="preserve"> otrzymane </w:t>
      </w:r>
      <w:r w:rsidR="000F632A" w:rsidRPr="00F34B5B">
        <w:rPr>
          <w:rFonts w:ascii="Bookman Old Style" w:hAnsi="Bookman Old Style"/>
          <w:sz w:val="20"/>
          <w:szCs w:val="20"/>
        </w:rPr>
        <w:t xml:space="preserve">metodą płyty dynamicznej, </w:t>
      </w:r>
      <w:r w:rsidRPr="00F34B5B">
        <w:rPr>
          <w:rFonts w:ascii="Bookman Old Style" w:hAnsi="Bookman Old Style"/>
          <w:sz w:val="20"/>
          <w:szCs w:val="20"/>
        </w:rPr>
        <w:t xml:space="preserve">zgodnie </w:t>
      </w:r>
      <w:r w:rsidRPr="00F34B5B">
        <w:rPr>
          <w:rFonts w:ascii="Bookman Old Style" w:hAnsi="Bookman Old Style"/>
          <w:sz w:val="20"/>
          <w:szCs w:val="20"/>
        </w:rPr>
        <w:br/>
        <w:t>z tablicą 1b stanowią wartości odbiorowe dla zagęszczenia i nośności</w:t>
      </w:r>
      <w:r w:rsidR="00A95B63" w:rsidRPr="00F34B5B">
        <w:rPr>
          <w:rFonts w:ascii="Bookman Old Style" w:hAnsi="Bookman Old Style"/>
          <w:sz w:val="20"/>
          <w:szCs w:val="20"/>
        </w:rPr>
        <w:t xml:space="preserve"> podłoża pod budowę nasypów.</w:t>
      </w:r>
    </w:p>
    <w:p w14:paraId="29AD68B6" w14:textId="77777777" w:rsidR="000F632A" w:rsidRPr="00F34B5B" w:rsidRDefault="000F632A" w:rsidP="00A57BFF">
      <w:pPr>
        <w:overflowPunct w:val="0"/>
        <w:autoSpaceDE w:val="0"/>
        <w:autoSpaceDN w:val="0"/>
        <w:adjustRightInd w:val="0"/>
        <w:jc w:val="both"/>
        <w:rPr>
          <w:rFonts w:ascii="Bookman Old Style" w:hAnsi="Bookman Old Style"/>
          <w:sz w:val="20"/>
          <w:szCs w:val="20"/>
        </w:rPr>
      </w:pPr>
    </w:p>
    <w:p w14:paraId="5AAB1504" w14:textId="07A8EBAD" w:rsidR="00A57BFF" w:rsidRPr="00F34B5B" w:rsidRDefault="00A57BFF" w:rsidP="00A57BFF">
      <w:pPr>
        <w:overflowPunct w:val="0"/>
        <w:autoSpaceDE w:val="0"/>
        <w:autoSpaceDN w:val="0"/>
        <w:adjustRightInd w:val="0"/>
        <w:ind w:firstLine="567"/>
        <w:jc w:val="both"/>
        <w:rPr>
          <w:rFonts w:ascii="Bookman Old Style" w:hAnsi="Bookman Old Style"/>
          <w:sz w:val="20"/>
          <w:szCs w:val="20"/>
        </w:rPr>
      </w:pPr>
      <w:r w:rsidRPr="00F34B5B">
        <w:rPr>
          <w:rFonts w:ascii="Bookman Old Style" w:hAnsi="Bookman Old Style"/>
          <w:sz w:val="20"/>
          <w:szCs w:val="20"/>
        </w:rPr>
        <w:t>Jeżeli zagęszczeni</w:t>
      </w:r>
      <w:r w:rsidR="00A95B63" w:rsidRPr="00F34B5B">
        <w:rPr>
          <w:rFonts w:ascii="Bookman Old Style" w:hAnsi="Bookman Old Style"/>
          <w:sz w:val="20"/>
          <w:szCs w:val="20"/>
        </w:rPr>
        <w:t>e</w:t>
      </w:r>
      <w:r w:rsidRPr="00F34B5B">
        <w:rPr>
          <w:rFonts w:ascii="Bookman Old Style" w:hAnsi="Bookman Old Style"/>
          <w:sz w:val="20"/>
          <w:szCs w:val="20"/>
        </w:rPr>
        <w:t xml:space="preserve"> oraz nośnoś</w:t>
      </w:r>
      <w:r w:rsidR="00A95B63" w:rsidRPr="00F34B5B">
        <w:rPr>
          <w:rFonts w:ascii="Bookman Old Style" w:hAnsi="Bookman Old Style"/>
          <w:sz w:val="20"/>
          <w:szCs w:val="20"/>
        </w:rPr>
        <w:t>ć wyznaczone za pomocą modułu E</w:t>
      </w:r>
      <w:r w:rsidR="00A95B63" w:rsidRPr="00F34B5B">
        <w:rPr>
          <w:rFonts w:ascii="Bookman Old Style" w:hAnsi="Bookman Old Style"/>
          <w:sz w:val="20"/>
          <w:szCs w:val="20"/>
          <w:vertAlign w:val="subscript"/>
        </w:rPr>
        <w:t>vd</w:t>
      </w:r>
      <w:r w:rsidRPr="00F34B5B">
        <w:rPr>
          <w:rFonts w:ascii="Bookman Old Style" w:hAnsi="Bookman Old Style"/>
          <w:sz w:val="20"/>
          <w:szCs w:val="20"/>
        </w:rPr>
        <w:t xml:space="preserve"> jest mniejsza niż określono </w:t>
      </w:r>
      <w:r w:rsidR="00A95B63" w:rsidRPr="00F34B5B">
        <w:rPr>
          <w:rFonts w:ascii="Bookman Old Style" w:hAnsi="Bookman Old Style"/>
          <w:sz w:val="20"/>
          <w:szCs w:val="20"/>
        </w:rPr>
        <w:t xml:space="preserve">w tablicy </w:t>
      </w:r>
      <w:r w:rsidR="00C75E0E" w:rsidRPr="00F34B5B">
        <w:rPr>
          <w:rFonts w:ascii="Bookman Old Style" w:hAnsi="Bookman Old Style"/>
          <w:sz w:val="20"/>
          <w:szCs w:val="20"/>
        </w:rPr>
        <w:t>1b</w:t>
      </w:r>
      <w:r w:rsidRPr="00F34B5B">
        <w:rPr>
          <w:rFonts w:ascii="Bookman Old Style" w:hAnsi="Bookman Old Style"/>
          <w:sz w:val="20"/>
          <w:szCs w:val="20"/>
        </w:rPr>
        <w:t>, Wykonawca musi zastosować odpowidnie zabiegi umożliwiające uzyskanie wymaganych parametrów np. poprzez zastosowanie.:</w:t>
      </w:r>
    </w:p>
    <w:p w14:paraId="70520E5F" w14:textId="77777777" w:rsidR="00A57BFF" w:rsidRPr="00F34B5B" w:rsidRDefault="00A57BFF" w:rsidP="00A57BFF">
      <w:pPr>
        <w:pStyle w:val="Akapitzlist"/>
        <w:numPr>
          <w:ilvl w:val="0"/>
          <w:numId w:val="10"/>
        </w:numPr>
        <w:overflowPunct w:val="0"/>
        <w:autoSpaceDE w:val="0"/>
        <w:autoSpaceDN w:val="0"/>
        <w:adjustRightInd w:val="0"/>
        <w:ind w:left="284" w:hanging="284"/>
        <w:jc w:val="both"/>
        <w:rPr>
          <w:rFonts w:ascii="Bookman Old Style" w:hAnsi="Bookman Old Style"/>
          <w:sz w:val="20"/>
          <w:szCs w:val="20"/>
        </w:rPr>
      </w:pPr>
      <w:r w:rsidRPr="00F34B5B">
        <w:rPr>
          <w:rFonts w:ascii="Bookman Old Style" w:hAnsi="Bookman Old Style"/>
          <w:sz w:val="20"/>
          <w:szCs w:val="20"/>
        </w:rPr>
        <w:t>dogęścić podłoże tak, aby powyższe wymagania zostały spełnione,</w:t>
      </w:r>
    </w:p>
    <w:p w14:paraId="16FE3D23" w14:textId="77777777" w:rsidR="00A57BFF" w:rsidRPr="00F34B5B" w:rsidRDefault="00A57BFF" w:rsidP="00A57BFF">
      <w:pPr>
        <w:pStyle w:val="Akapitzlist"/>
        <w:numPr>
          <w:ilvl w:val="0"/>
          <w:numId w:val="10"/>
        </w:numPr>
        <w:overflowPunct w:val="0"/>
        <w:autoSpaceDE w:val="0"/>
        <w:autoSpaceDN w:val="0"/>
        <w:adjustRightInd w:val="0"/>
        <w:ind w:left="284" w:hanging="284"/>
        <w:jc w:val="both"/>
        <w:rPr>
          <w:rFonts w:ascii="Bookman Old Style" w:hAnsi="Bookman Old Style"/>
          <w:sz w:val="20"/>
          <w:szCs w:val="20"/>
        </w:rPr>
      </w:pPr>
      <w:r w:rsidRPr="00F34B5B">
        <w:rPr>
          <w:rFonts w:ascii="Bookman Old Style" w:hAnsi="Bookman Old Style"/>
          <w:sz w:val="20"/>
          <w:szCs w:val="20"/>
        </w:rPr>
        <w:t>wykonanie doziarnienie gruntu poprzez uzupełnienie krzywej uziarnienia brakująca grupą frakcji, w celu uzyskania wymaganych parametrów,</w:t>
      </w:r>
    </w:p>
    <w:p w14:paraId="327C2D79" w14:textId="77777777" w:rsidR="00A57BFF" w:rsidRPr="00F34B5B" w:rsidRDefault="00A57BFF" w:rsidP="00A57BFF">
      <w:pPr>
        <w:pStyle w:val="Akapitzlist"/>
        <w:numPr>
          <w:ilvl w:val="0"/>
          <w:numId w:val="10"/>
        </w:numPr>
        <w:overflowPunct w:val="0"/>
        <w:autoSpaceDE w:val="0"/>
        <w:autoSpaceDN w:val="0"/>
        <w:adjustRightInd w:val="0"/>
        <w:ind w:left="284" w:hanging="284"/>
        <w:jc w:val="both"/>
        <w:rPr>
          <w:rFonts w:ascii="Bookman Old Style" w:hAnsi="Bookman Old Style"/>
          <w:sz w:val="20"/>
          <w:szCs w:val="20"/>
        </w:rPr>
      </w:pPr>
      <w:r w:rsidRPr="00F34B5B">
        <w:rPr>
          <w:rFonts w:ascii="Bookman Old Style" w:hAnsi="Bookman Old Style"/>
          <w:sz w:val="20"/>
          <w:szCs w:val="20"/>
        </w:rPr>
        <w:t>ułożenie geowłókniny separacyjno-wzmacniające,</w:t>
      </w:r>
    </w:p>
    <w:p w14:paraId="60E958EA" w14:textId="40F870B9" w:rsidR="00A57BFF" w:rsidRPr="00F34B5B" w:rsidRDefault="00A57BFF" w:rsidP="00A57BFF">
      <w:pPr>
        <w:pStyle w:val="Akapitzlist"/>
        <w:numPr>
          <w:ilvl w:val="0"/>
          <w:numId w:val="10"/>
        </w:numPr>
        <w:overflowPunct w:val="0"/>
        <w:autoSpaceDE w:val="0"/>
        <w:autoSpaceDN w:val="0"/>
        <w:adjustRightInd w:val="0"/>
        <w:ind w:left="284" w:hanging="284"/>
        <w:jc w:val="both"/>
        <w:rPr>
          <w:rFonts w:ascii="Bookman Old Style" w:hAnsi="Bookman Old Style"/>
          <w:sz w:val="20"/>
          <w:szCs w:val="20"/>
        </w:rPr>
      </w:pPr>
      <w:r w:rsidRPr="00F34B5B">
        <w:rPr>
          <w:rFonts w:ascii="Bookman Old Style" w:hAnsi="Bookman Old Style"/>
          <w:sz w:val="20"/>
          <w:szCs w:val="20"/>
        </w:rPr>
        <w:t>wykonanie warstwy ulepszonego podłoż</w:t>
      </w:r>
      <w:r w:rsidR="008B6E9F" w:rsidRPr="00F34B5B">
        <w:rPr>
          <w:rFonts w:ascii="Bookman Old Style" w:hAnsi="Bookman Old Style"/>
          <w:sz w:val="20"/>
          <w:szCs w:val="20"/>
        </w:rPr>
        <w:t>a</w:t>
      </w:r>
      <w:r w:rsidRPr="00F34B5B">
        <w:rPr>
          <w:rFonts w:ascii="Bookman Old Style" w:hAnsi="Bookman Old Style"/>
          <w:sz w:val="20"/>
          <w:szCs w:val="20"/>
        </w:rPr>
        <w:t xml:space="preserve"> Rm=1,5MPa.</w:t>
      </w:r>
    </w:p>
    <w:p w14:paraId="6C45A5B7" w14:textId="77777777" w:rsidR="00A57BFF" w:rsidRPr="00F34B5B" w:rsidRDefault="00A57BFF" w:rsidP="00A57BFF">
      <w:pPr>
        <w:overflowPunct w:val="0"/>
        <w:autoSpaceDE w:val="0"/>
        <w:autoSpaceDN w:val="0"/>
        <w:adjustRightInd w:val="0"/>
        <w:jc w:val="both"/>
        <w:rPr>
          <w:rFonts w:ascii="Bookman Old Style" w:hAnsi="Bookman Old Style"/>
          <w:sz w:val="20"/>
          <w:szCs w:val="20"/>
        </w:rPr>
      </w:pPr>
    </w:p>
    <w:p w14:paraId="2B36979A"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b/>
          <w:sz w:val="20"/>
          <w:szCs w:val="20"/>
        </w:rPr>
        <w:t>5.3.2. Wybór gruntów i materiałów do wykonania nasypów</w:t>
      </w:r>
    </w:p>
    <w:p w14:paraId="6862CA6F"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Wybór gruntów i materiałów do wykonania nasypów powinien być dokonany z uwzględnieniem zasad podanych w punkcie 2.</w:t>
      </w:r>
    </w:p>
    <w:p w14:paraId="6B2FC3ED" w14:textId="77777777" w:rsidR="000F632A" w:rsidRPr="00F34B5B" w:rsidRDefault="000F632A" w:rsidP="00A57BFF">
      <w:pPr>
        <w:jc w:val="both"/>
        <w:rPr>
          <w:rFonts w:ascii="Bookman Old Style" w:hAnsi="Bookman Old Style"/>
          <w:sz w:val="20"/>
          <w:szCs w:val="20"/>
        </w:rPr>
      </w:pPr>
    </w:p>
    <w:p w14:paraId="5413F282" w14:textId="77777777" w:rsidR="007275CB" w:rsidRPr="00F34B5B" w:rsidRDefault="007275CB" w:rsidP="00A57BFF">
      <w:pPr>
        <w:jc w:val="both"/>
        <w:rPr>
          <w:rFonts w:ascii="Bookman Old Style" w:hAnsi="Bookman Old Style"/>
          <w:sz w:val="20"/>
          <w:szCs w:val="20"/>
        </w:rPr>
      </w:pPr>
    </w:p>
    <w:p w14:paraId="30FCE159"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b/>
          <w:sz w:val="20"/>
          <w:szCs w:val="20"/>
        </w:rPr>
        <w:t>5.3.3. Zasady wykonania nasypów</w:t>
      </w:r>
    </w:p>
    <w:p w14:paraId="705DED65" w14:textId="77777777" w:rsidR="00A57BFF" w:rsidRPr="00F34B5B" w:rsidRDefault="00A57BFF" w:rsidP="00A57BFF">
      <w:pPr>
        <w:jc w:val="both"/>
        <w:rPr>
          <w:rFonts w:ascii="Bookman Old Style" w:hAnsi="Bookman Old Style"/>
          <w:b/>
          <w:sz w:val="20"/>
          <w:szCs w:val="20"/>
        </w:rPr>
      </w:pPr>
      <w:r w:rsidRPr="00F34B5B">
        <w:rPr>
          <w:rFonts w:ascii="Bookman Old Style" w:hAnsi="Bookman Old Style"/>
          <w:b/>
          <w:sz w:val="20"/>
          <w:szCs w:val="20"/>
        </w:rPr>
        <w:t>5.3.3.1.Ogólne zasady wykonywania nasypów</w:t>
      </w:r>
    </w:p>
    <w:p w14:paraId="5E692244"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Nasypy powinny być wznoszone przy zachowaniu przekroju poprzecznego i profilu podłużnego, które określono w Dokumentacji Projektowej, z uwzględnieniem ewentualnych zmian wprowadzonych zawczasu przez Inżyniera.</w:t>
      </w:r>
    </w:p>
    <w:p w14:paraId="02547E2C"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 celu zapewnienia stateczności nasypu i jego równomiernego osiadania należy przestrzegać następujących zasad:</w:t>
      </w:r>
    </w:p>
    <w:p w14:paraId="7E790DEF" w14:textId="77777777"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Nasypy należy wykonywać metodą warstwową, z gruntów określonych w tabeli 1 z uwzględnieniem głębokości wbudowania w korpus i strefy przemarzania gruntu</w:t>
      </w:r>
      <w:r w:rsidRPr="00F34B5B">
        <w:rPr>
          <w:rFonts w:ascii="Bookman Old Style" w:hAnsi="Bookman Old Style"/>
          <w:sz w:val="20"/>
        </w:rPr>
        <w:t xml:space="preserve">. </w:t>
      </w:r>
      <w:r w:rsidRPr="00F34B5B">
        <w:rPr>
          <w:rFonts w:ascii="Bookman Old Style" w:hAnsi="Bookman Old Style"/>
          <w:sz w:val="20"/>
          <w:szCs w:val="20"/>
        </w:rPr>
        <w:t>Nasypy powinny być wznoszone równomiernie na całej szerokości.</w:t>
      </w:r>
    </w:p>
    <w:p w14:paraId="051893A0" w14:textId="014212A4"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 xml:space="preserve">Grubość warstwy w stanie luźnym powinna być odpowiednio dobrana w zależności od rodzaju gruntu i sprzętu używanego do zagęszczania. </w:t>
      </w:r>
    </w:p>
    <w:p w14:paraId="1AE406AB" w14:textId="2F87D7B4"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 xml:space="preserve">Grunty o różnych właściwościach należy wbudowywać w oddzielnych warstwach, o jednakowej grubości na całej szerokości nasypu. </w:t>
      </w:r>
    </w:p>
    <w:p w14:paraId="38E081AC" w14:textId="096AE757"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 xml:space="preserve">Warstwy gruntu przepuszczalnego należy wbudowywać poziomo, a warstwy gruntu mało przepuszczalnego ze spadkiem górnej powierzchni około 4% </w:t>
      </w:r>
      <w:r w:rsidRPr="00F34B5B">
        <w:rPr>
          <w:rFonts w:ascii="Bookman Old Style" w:hAnsi="Bookman Old Style"/>
          <w:sz w:val="20"/>
          <w:szCs w:val="20"/>
        </w:rPr>
        <w:sym w:font="Symbol" w:char="F0B1"/>
      </w:r>
      <w:r w:rsidRPr="00F34B5B">
        <w:rPr>
          <w:rFonts w:ascii="Bookman Old Style" w:hAnsi="Bookman Old Style"/>
          <w:sz w:val="20"/>
          <w:szCs w:val="20"/>
        </w:rPr>
        <w:t xml:space="preserve"> 1%. Kiedy nasyp jest budowany w terenie płaskim spadek powinien być obustronny, gdy nasyp jest budowany na zboczu spadek powinien być jednostronny, zgodny z jego pochyleniem. Ukształtowanie powierzchni warstwy powinno uniemożliwiać lokalne gromadzenie się wody.</w:t>
      </w:r>
    </w:p>
    <w:p w14:paraId="7E1E9848" w14:textId="0BFFB380"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lastRenderedPageBreak/>
        <w:t>Górną warstwę nasypu, o grubości co najmniej 0,</w:t>
      </w:r>
      <w:r w:rsidR="00E36916" w:rsidRPr="00F34B5B">
        <w:rPr>
          <w:rFonts w:ascii="Bookman Old Style" w:hAnsi="Bookman Old Style"/>
          <w:sz w:val="20"/>
          <w:szCs w:val="20"/>
        </w:rPr>
        <w:t>2</w:t>
      </w:r>
      <w:r w:rsidRPr="00F34B5B">
        <w:rPr>
          <w:rFonts w:ascii="Bookman Old Style" w:hAnsi="Bookman Old Style"/>
          <w:sz w:val="20"/>
          <w:szCs w:val="20"/>
        </w:rPr>
        <w:t>5 m należy wykonać z gruntów niewysadzinowych. Jeżeli Wykonawca nie dysponuje gruntem o takich właściwościach</w:t>
      </w:r>
      <w:r w:rsidR="00E36916" w:rsidRPr="00F34B5B">
        <w:rPr>
          <w:rFonts w:ascii="Bookman Old Style" w:hAnsi="Bookman Old Style"/>
          <w:sz w:val="20"/>
          <w:szCs w:val="20"/>
        </w:rPr>
        <w:t xml:space="preserve"> to może wykonać</w:t>
      </w:r>
      <w:r w:rsidRPr="00F34B5B">
        <w:rPr>
          <w:rFonts w:ascii="Bookman Old Style" w:hAnsi="Bookman Old Style"/>
          <w:sz w:val="20"/>
          <w:szCs w:val="20"/>
        </w:rPr>
        <w:t xml:space="preserve"> ulepszenie górnej warstwy nasypu poprzez stabilizację cementem. </w:t>
      </w:r>
    </w:p>
    <w:p w14:paraId="17DB7C21" w14:textId="6AF3C9AB"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Górną warstwę nasypu</w:t>
      </w:r>
      <w:r w:rsidR="00E36916" w:rsidRPr="00F34B5B">
        <w:rPr>
          <w:rFonts w:ascii="Bookman Old Style" w:hAnsi="Bookman Old Style"/>
          <w:sz w:val="20"/>
          <w:szCs w:val="20"/>
        </w:rPr>
        <w:t xml:space="preserve"> można</w:t>
      </w:r>
      <w:r w:rsidRPr="00F34B5B">
        <w:rPr>
          <w:rFonts w:ascii="Bookman Old Style" w:hAnsi="Bookman Old Style"/>
          <w:sz w:val="20"/>
          <w:szCs w:val="20"/>
        </w:rPr>
        <w:t xml:space="preserve"> </w:t>
      </w:r>
      <w:r w:rsidR="00026654" w:rsidRPr="00F34B5B">
        <w:rPr>
          <w:rFonts w:ascii="Bookman Old Style" w:hAnsi="Bookman Old Style"/>
          <w:sz w:val="20"/>
          <w:szCs w:val="20"/>
        </w:rPr>
        <w:t xml:space="preserve">wykonać </w:t>
      </w:r>
      <w:r w:rsidR="00A667FF" w:rsidRPr="00F34B5B">
        <w:rPr>
          <w:rFonts w:ascii="Bookman Old Style" w:hAnsi="Bookman Old Style"/>
          <w:sz w:val="20"/>
          <w:szCs w:val="20"/>
        </w:rPr>
        <w:t xml:space="preserve">jako </w:t>
      </w:r>
      <w:r w:rsidR="00026654" w:rsidRPr="00F34B5B">
        <w:rPr>
          <w:rFonts w:ascii="Bookman Old Style" w:hAnsi="Bookman Old Style"/>
          <w:sz w:val="20"/>
          <w:szCs w:val="20"/>
        </w:rPr>
        <w:t>Warstwę Ulepszonego Podłoża</w:t>
      </w:r>
      <w:r w:rsidR="00A667FF" w:rsidRPr="00F34B5B">
        <w:rPr>
          <w:rFonts w:ascii="Bookman Old Style" w:hAnsi="Bookman Old Style"/>
          <w:sz w:val="20"/>
          <w:szCs w:val="20"/>
        </w:rPr>
        <w:t xml:space="preserve"> (WUP) wg STWiORB D-04.05.01</w:t>
      </w:r>
      <w:r w:rsidRPr="00F34B5B">
        <w:rPr>
          <w:rFonts w:ascii="Bookman Old Style" w:hAnsi="Bookman Old Style"/>
          <w:sz w:val="20"/>
          <w:szCs w:val="20"/>
        </w:rPr>
        <w:t xml:space="preserve">. </w:t>
      </w:r>
    </w:p>
    <w:p w14:paraId="5A35ACE4" w14:textId="77777777" w:rsidR="00A57BFF" w:rsidRPr="00F34B5B" w:rsidRDefault="00A57BFF" w:rsidP="00A57BFF">
      <w:pPr>
        <w:numPr>
          <w:ilvl w:val="0"/>
          <w:numId w:val="9"/>
        </w:numPr>
        <w:jc w:val="both"/>
        <w:rPr>
          <w:rFonts w:ascii="Bookman Old Style" w:hAnsi="Bookman Old Style"/>
          <w:sz w:val="20"/>
          <w:szCs w:val="20"/>
        </w:rPr>
      </w:pPr>
      <w:r w:rsidRPr="00F34B5B">
        <w:rPr>
          <w:rFonts w:ascii="Bookman Old Style" w:hAnsi="Bookman Old Style"/>
          <w:sz w:val="20"/>
          <w:szCs w:val="20"/>
        </w:rPr>
        <w:t>Grunt przewieziony w miejsce wbudowania powinien być bezzwłocznie wbudowany w nasyp. Inżynier może dopuścić czasowe składowanie gruntu, pod warunkiem jego zabezpieczenia przed nadmiernym zawilgoceniem.</w:t>
      </w:r>
    </w:p>
    <w:p w14:paraId="58369BCA" w14:textId="6B95E12E" w:rsidR="00A57BFF" w:rsidRPr="00F34B5B" w:rsidRDefault="00A57BFF" w:rsidP="00A57BFF">
      <w:pPr>
        <w:jc w:val="both"/>
        <w:rPr>
          <w:rFonts w:ascii="Bookman Old Style" w:hAnsi="Bookman Old Style"/>
          <w:b/>
          <w:sz w:val="20"/>
          <w:szCs w:val="20"/>
        </w:rPr>
      </w:pPr>
      <w:r w:rsidRPr="00F34B5B">
        <w:rPr>
          <w:rFonts w:ascii="Bookman Old Style" w:hAnsi="Bookman Old Style"/>
          <w:b/>
          <w:sz w:val="20"/>
          <w:szCs w:val="20"/>
        </w:rPr>
        <w:t xml:space="preserve">5.3.3.2. Wykonywanie nasypów w okresie </w:t>
      </w:r>
      <w:r w:rsidR="00EE019D" w:rsidRPr="00F34B5B">
        <w:rPr>
          <w:rFonts w:ascii="Bookman Old Style" w:hAnsi="Bookman Old Style"/>
          <w:b/>
          <w:sz w:val="20"/>
          <w:szCs w:val="20"/>
        </w:rPr>
        <w:t>opadów atmosferycznych</w:t>
      </w:r>
    </w:p>
    <w:p w14:paraId="420382FA" w14:textId="081C3422"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Wykonywanie nasypów należy przerwać, jeżeli wilgotność gruntu przekracza wartość dopuszczalną, to znaczy jest większa od wilgotności optymalnej o więcej niż 2% od wilgotności optymalnej</w:t>
      </w:r>
      <w:r w:rsidR="00EE019D" w:rsidRPr="00F34B5B">
        <w:rPr>
          <w:rFonts w:ascii="Bookman Old Style" w:hAnsi="Bookman Old Style"/>
          <w:sz w:val="20"/>
          <w:szCs w:val="20"/>
        </w:rPr>
        <w:t xml:space="preserve"> i zgłosić Inżynierowi długość czasu przerwy w wykonywaniu robót ze względu na warunki atmosferyczne</w:t>
      </w:r>
      <w:r w:rsidRPr="00F34B5B">
        <w:rPr>
          <w:rFonts w:ascii="Bookman Old Style" w:hAnsi="Bookman Old Style"/>
          <w:sz w:val="20"/>
          <w:szCs w:val="20"/>
        </w:rPr>
        <w:t>.</w:t>
      </w:r>
    </w:p>
    <w:p w14:paraId="1BC48E8F"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Na warstwie gruntu nadmiernie zawilgoconego nie wolno układać następnej warstwy gruntu.</w:t>
      </w:r>
    </w:p>
    <w:p w14:paraId="5E9DC057" w14:textId="7DA3BB2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Osuszenie można przeprowadzić w sposób mechaniczny lub chemiczny, poprzez wymieszanie z wapnem palonym albo hydratyzowanym</w:t>
      </w:r>
      <w:r w:rsidR="00EE019D" w:rsidRPr="00F34B5B">
        <w:rPr>
          <w:rFonts w:ascii="Bookman Old Style" w:hAnsi="Bookman Old Style"/>
          <w:sz w:val="20"/>
          <w:szCs w:val="20"/>
        </w:rPr>
        <w:t xml:space="preserve"> na koszt Zamawiającego</w:t>
      </w:r>
      <w:r w:rsidRPr="00F34B5B">
        <w:rPr>
          <w:rFonts w:ascii="Bookman Old Style" w:hAnsi="Bookman Old Style"/>
          <w:sz w:val="20"/>
          <w:szCs w:val="20"/>
        </w:rPr>
        <w:t>.</w:t>
      </w:r>
    </w:p>
    <w:p w14:paraId="64E8B2E1"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 celu zabezpieczenia nasypu przed nadmiernym zawilgoceniem, poszczególne jego warstwy oraz korona nasypu po zakończeniu robót ziemnych powinny być równe i mieć spadki potrzebne do prawidłowego odwodnienia, według pkt 5.3.3.1, poz. d).</w:t>
      </w:r>
    </w:p>
    <w:p w14:paraId="4E234372" w14:textId="637406AF"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W okresie </w:t>
      </w:r>
      <w:r w:rsidR="00EE019D" w:rsidRPr="00F34B5B">
        <w:rPr>
          <w:rFonts w:ascii="Bookman Old Style" w:hAnsi="Bookman Old Style"/>
          <w:sz w:val="20"/>
          <w:szCs w:val="20"/>
        </w:rPr>
        <w:t xml:space="preserve">opadów atmosferycznych </w:t>
      </w:r>
      <w:r w:rsidRPr="00F34B5B">
        <w:rPr>
          <w:rFonts w:ascii="Bookman Old Style" w:hAnsi="Bookman Old Style"/>
          <w:sz w:val="20"/>
          <w:szCs w:val="20"/>
        </w:rPr>
        <w:t>nie należy pozostawiać niezagęszczonej warstwy do dnia następnego. Jeżeli warstwa gruntu niezagęszczonego uległa przewilgoceniu, a Wykonawca nie jest w stanie osuszyć jej i zagęścić w czasie zaakceptowanym przez Inżyniera, to może on nakazać Wykonawcy usunięcie wadliwej warstwy</w:t>
      </w:r>
      <w:r w:rsidR="00EE019D" w:rsidRPr="00F34B5B">
        <w:rPr>
          <w:rFonts w:ascii="Bookman Old Style" w:hAnsi="Bookman Old Style"/>
          <w:sz w:val="20"/>
          <w:szCs w:val="20"/>
        </w:rPr>
        <w:t xml:space="preserve"> na koszt Zamawiającego</w:t>
      </w:r>
      <w:r w:rsidRPr="00F34B5B">
        <w:rPr>
          <w:rFonts w:ascii="Bookman Old Style" w:hAnsi="Bookman Old Style"/>
          <w:sz w:val="20"/>
          <w:szCs w:val="20"/>
        </w:rPr>
        <w:t>.</w:t>
      </w:r>
    </w:p>
    <w:p w14:paraId="39DF40DC" w14:textId="77777777" w:rsidR="00A57BFF" w:rsidRPr="00F34B5B" w:rsidRDefault="00A57BFF" w:rsidP="00A57BFF">
      <w:pPr>
        <w:pStyle w:val="tekstost"/>
        <w:rPr>
          <w:rFonts w:ascii="Bookman Old Style" w:hAnsi="Bookman Old Style"/>
          <w:b/>
        </w:rPr>
      </w:pPr>
      <w:r w:rsidRPr="00F34B5B">
        <w:rPr>
          <w:rFonts w:ascii="Bookman Old Style" w:hAnsi="Bookman Old Style"/>
          <w:b/>
        </w:rPr>
        <w:t>5.3.3.3. Wykonywanie nasypów w okresie mrozów</w:t>
      </w:r>
    </w:p>
    <w:p w14:paraId="44C80699" w14:textId="4CE93E64"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Niedopuszczalne jest wykonywanie nasypów w temperaturze</w:t>
      </w:r>
      <w:r w:rsidR="009F5A62" w:rsidRPr="00F34B5B">
        <w:rPr>
          <w:rFonts w:ascii="Bookman Old Style" w:hAnsi="Bookman Old Style"/>
          <w:sz w:val="20"/>
          <w:szCs w:val="20"/>
        </w:rPr>
        <w:t>,</w:t>
      </w:r>
      <w:r w:rsidRPr="00F34B5B">
        <w:rPr>
          <w:rFonts w:ascii="Bookman Old Style" w:hAnsi="Bookman Old Style"/>
          <w:sz w:val="20"/>
          <w:szCs w:val="20"/>
        </w:rPr>
        <w:t xml:space="preserve"> przy której nie jest możliwe osiągnięcie w nasypie wymaganego wskaźnika zagęszczenia gruntów.</w:t>
      </w:r>
    </w:p>
    <w:p w14:paraId="48B1EAC8"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Niedopuszczalne jest wbudowywanie kolejnych warstw nasypu na zamarzniętym korpusie.</w:t>
      </w:r>
    </w:p>
    <w:p w14:paraId="6C88D445" w14:textId="75314335"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Po odmarznięciu już wykonanych warstw lub podłoża należy wykonać ponownie badania nośności.</w:t>
      </w:r>
    </w:p>
    <w:p w14:paraId="4D12E9FE"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Nie dopuszcza się wbudowania w nasyp gruntów zamarzniętych lub gruntów przemieszanych ze śniegiem lub lodem.</w:t>
      </w:r>
    </w:p>
    <w:p w14:paraId="69A78957"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W czasie dużych opadów śniegu wykonywanie nasypów powinno być przerwane. Przed wznowieniem prac należy usunąć śnieg z powierzchni wznoszonego nasypu.</w:t>
      </w:r>
    </w:p>
    <w:p w14:paraId="5B4CC72A"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Jeżeli warstwa niezagęszczonego gruntu zamarzła, to nie należy jej przed rozmarznięciem </w:t>
      </w:r>
      <w:r w:rsidRPr="00F34B5B">
        <w:rPr>
          <w:rFonts w:ascii="Bookman Old Style" w:hAnsi="Bookman Old Style"/>
          <w:sz w:val="20"/>
          <w:szCs w:val="20"/>
        </w:rPr>
        <w:br/>
        <w:t>i osuszeniem zagęszczać ani układać na niej następnych warstw.</w:t>
      </w:r>
    </w:p>
    <w:p w14:paraId="2B817A10" w14:textId="77777777" w:rsidR="00A57BFF" w:rsidRPr="00F34B5B" w:rsidRDefault="00A57BFF" w:rsidP="00A57BFF">
      <w:pPr>
        <w:keepNext/>
        <w:jc w:val="both"/>
        <w:rPr>
          <w:rFonts w:ascii="Bookman Old Style" w:hAnsi="Bookman Old Style"/>
          <w:b/>
          <w:sz w:val="20"/>
          <w:szCs w:val="20"/>
        </w:rPr>
      </w:pPr>
      <w:r w:rsidRPr="00F34B5B">
        <w:rPr>
          <w:rFonts w:ascii="Bookman Old Style" w:hAnsi="Bookman Old Style"/>
          <w:b/>
          <w:sz w:val="20"/>
          <w:szCs w:val="20"/>
        </w:rPr>
        <w:t>5.3.4. Zagęszczenie gruntu</w:t>
      </w:r>
    </w:p>
    <w:p w14:paraId="21348F8E" w14:textId="77777777" w:rsidR="00A57BFF" w:rsidRPr="00F34B5B" w:rsidRDefault="00A57BFF" w:rsidP="00A57BFF">
      <w:pPr>
        <w:pStyle w:val="tekstost"/>
        <w:rPr>
          <w:rFonts w:ascii="Bookman Old Style" w:hAnsi="Bookman Old Style"/>
          <w:b/>
        </w:rPr>
      </w:pPr>
      <w:r w:rsidRPr="00F34B5B">
        <w:rPr>
          <w:rFonts w:ascii="Bookman Old Style" w:hAnsi="Bookman Old Style"/>
          <w:b/>
        </w:rPr>
        <w:t>5.3.4.1. Ogólne zasady zagęszczania gruntu</w:t>
      </w:r>
    </w:p>
    <w:p w14:paraId="787408F5"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Każda warstwa gruntu jak najszybciej po jej rozłożeniu, powinna być zagęszczona </w:t>
      </w:r>
      <w:r w:rsidRPr="00F34B5B">
        <w:rPr>
          <w:rFonts w:ascii="Bookman Old Style" w:hAnsi="Bookman Old Style"/>
          <w:sz w:val="20"/>
          <w:szCs w:val="20"/>
        </w:rPr>
        <w:br/>
        <w:t>z zastosowaniem sprzętu odpowiedniego dla danego rodzaju gruntu oraz występujących warunków.</w:t>
      </w:r>
    </w:p>
    <w:p w14:paraId="16889F0F"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Rozłożone warstwy gruntu należy zagęszczać od krawędzi nasypu w kierunku jego osi.</w:t>
      </w:r>
    </w:p>
    <w:p w14:paraId="124AC643" w14:textId="77777777" w:rsidR="00A57BFF" w:rsidRPr="00F34B5B" w:rsidRDefault="00A57BFF" w:rsidP="00A57BFF">
      <w:pPr>
        <w:pStyle w:val="tekstost"/>
        <w:rPr>
          <w:rFonts w:ascii="Bookman Old Style" w:hAnsi="Bookman Old Style"/>
          <w:b/>
        </w:rPr>
      </w:pPr>
      <w:r w:rsidRPr="00F34B5B">
        <w:rPr>
          <w:rFonts w:ascii="Bookman Old Style" w:hAnsi="Bookman Old Style"/>
          <w:b/>
        </w:rPr>
        <w:t>5.3.4.2. Grubość warstwy</w:t>
      </w:r>
    </w:p>
    <w:p w14:paraId="59A4BA93"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Grubość warstwy zagęszczonego gruntu oraz liczbę przejść maszyny zagęszczającej zaleca się określić doświadczalnie dla każdego rodzaju gruntu i typu maszyny.</w:t>
      </w:r>
    </w:p>
    <w:p w14:paraId="1F96891F"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Orientacyjne wartości, dotyczące grubości warstw różnych gruntów oraz liczby przejazdów różnych maszyn do zagęszczania podano w punkcie 3.</w:t>
      </w:r>
    </w:p>
    <w:p w14:paraId="6D173D6E" w14:textId="77777777" w:rsidR="00A57BFF" w:rsidRPr="00F34B5B" w:rsidRDefault="00A57BFF" w:rsidP="00A57BFF">
      <w:pPr>
        <w:pStyle w:val="tekstost"/>
        <w:rPr>
          <w:rFonts w:ascii="Bookman Old Style" w:hAnsi="Bookman Old Style"/>
          <w:b/>
        </w:rPr>
      </w:pPr>
      <w:r w:rsidRPr="00F34B5B">
        <w:rPr>
          <w:rFonts w:ascii="Bookman Old Style" w:hAnsi="Bookman Old Style"/>
          <w:b/>
        </w:rPr>
        <w:t>5.3.4.3. Wilgotność gruntu</w:t>
      </w:r>
    </w:p>
    <w:p w14:paraId="2F9C96A1"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Wilgotność gruntu w czasie zagęszczania powinna być równa wilgotności optymalnej, </w:t>
      </w:r>
      <w:r w:rsidRPr="00F34B5B">
        <w:rPr>
          <w:rFonts w:ascii="Bookman Old Style" w:hAnsi="Bookman Old Style"/>
          <w:sz w:val="20"/>
          <w:szCs w:val="20"/>
        </w:rPr>
        <w:br/>
        <w:t>z tolerancją:</w:t>
      </w:r>
    </w:p>
    <w:p w14:paraId="254B6719" w14:textId="77777777" w:rsidR="00A57BFF" w:rsidRPr="00F34B5B" w:rsidRDefault="00A57BFF" w:rsidP="00A57BFF">
      <w:pPr>
        <w:numPr>
          <w:ilvl w:val="0"/>
          <w:numId w:val="3"/>
        </w:numPr>
        <w:tabs>
          <w:tab w:val="left" w:pos="720"/>
          <w:tab w:val="left" w:pos="3780"/>
        </w:tabs>
        <w:jc w:val="both"/>
        <w:rPr>
          <w:rFonts w:ascii="Bookman Old Style" w:hAnsi="Bookman Old Style"/>
          <w:sz w:val="20"/>
          <w:szCs w:val="20"/>
        </w:rPr>
      </w:pPr>
      <w:r w:rsidRPr="00F34B5B">
        <w:rPr>
          <w:rFonts w:ascii="Bookman Old Style" w:hAnsi="Bookman Old Style"/>
          <w:sz w:val="20"/>
          <w:szCs w:val="20"/>
        </w:rPr>
        <w:t>w gruntach niespoistych</w:t>
      </w:r>
      <w:r w:rsidRPr="00F34B5B">
        <w:rPr>
          <w:rFonts w:ascii="Bookman Old Style" w:hAnsi="Bookman Old Style"/>
          <w:sz w:val="20"/>
          <w:szCs w:val="20"/>
        </w:rPr>
        <w:tab/>
      </w:r>
      <w:r w:rsidRPr="00F34B5B">
        <w:rPr>
          <w:rFonts w:ascii="Bookman Old Style" w:hAnsi="Bookman Old Style"/>
          <w:sz w:val="20"/>
          <w:szCs w:val="20"/>
        </w:rPr>
        <w:sym w:font="Symbol" w:char="F0B1"/>
      </w:r>
      <w:r w:rsidRPr="00F34B5B">
        <w:rPr>
          <w:rFonts w:ascii="Bookman Old Style" w:hAnsi="Bookman Old Style"/>
          <w:sz w:val="20"/>
          <w:szCs w:val="20"/>
        </w:rPr>
        <w:t>2 %</w:t>
      </w:r>
    </w:p>
    <w:p w14:paraId="58BEDDEE" w14:textId="77777777" w:rsidR="00A57BFF" w:rsidRPr="00F34B5B" w:rsidRDefault="00A57BFF" w:rsidP="00A57BFF">
      <w:pPr>
        <w:numPr>
          <w:ilvl w:val="0"/>
          <w:numId w:val="3"/>
        </w:numPr>
        <w:tabs>
          <w:tab w:val="left" w:pos="720"/>
          <w:tab w:val="left" w:pos="3780"/>
        </w:tabs>
        <w:jc w:val="both"/>
        <w:rPr>
          <w:rFonts w:ascii="Bookman Old Style" w:hAnsi="Bookman Old Style"/>
          <w:sz w:val="20"/>
          <w:szCs w:val="20"/>
        </w:rPr>
      </w:pPr>
      <w:r w:rsidRPr="00F34B5B">
        <w:rPr>
          <w:rFonts w:ascii="Bookman Old Style" w:hAnsi="Bookman Old Style"/>
          <w:sz w:val="20"/>
          <w:szCs w:val="20"/>
        </w:rPr>
        <w:t>w gruntach mało i średnio spoistych</w:t>
      </w:r>
      <w:r w:rsidRPr="00F34B5B">
        <w:rPr>
          <w:rFonts w:ascii="Bookman Old Style" w:hAnsi="Bookman Old Style"/>
          <w:sz w:val="20"/>
          <w:szCs w:val="20"/>
        </w:rPr>
        <w:tab/>
        <w:t xml:space="preserve">+0 %, </w:t>
      </w:r>
      <w:r w:rsidRPr="00F34B5B">
        <w:rPr>
          <w:rFonts w:ascii="Bookman Old Style" w:hAnsi="Bookman Old Style"/>
          <w:sz w:val="20"/>
          <w:szCs w:val="20"/>
        </w:rPr>
        <w:sym w:font="Symbol" w:char="F02D"/>
      </w:r>
      <w:r w:rsidRPr="00F34B5B">
        <w:rPr>
          <w:rFonts w:ascii="Bookman Old Style" w:hAnsi="Bookman Old Style"/>
          <w:sz w:val="20"/>
          <w:szCs w:val="20"/>
        </w:rPr>
        <w:t>2 %</w:t>
      </w:r>
    </w:p>
    <w:p w14:paraId="2D54E7FA" w14:textId="77777777" w:rsidR="00A57BFF" w:rsidRPr="00F34B5B" w:rsidRDefault="00A57BFF" w:rsidP="00A57BFF">
      <w:pPr>
        <w:pStyle w:val="tekstost"/>
        <w:keepNext/>
        <w:rPr>
          <w:rFonts w:ascii="Bookman Old Style" w:hAnsi="Bookman Old Style"/>
          <w:b/>
        </w:rPr>
      </w:pPr>
      <w:r w:rsidRPr="00F34B5B">
        <w:rPr>
          <w:rFonts w:ascii="Bookman Old Style" w:hAnsi="Bookman Old Style"/>
          <w:b/>
        </w:rPr>
        <w:t>5.3.4.4. Wymagania dotyczące zagęszczania</w:t>
      </w:r>
    </w:p>
    <w:p w14:paraId="2D54269B" w14:textId="6D7C18A0"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Zgęszczenie warstwy </w:t>
      </w:r>
      <w:r w:rsidR="009F5A62" w:rsidRPr="00F34B5B">
        <w:rPr>
          <w:rFonts w:ascii="Bookman Old Style" w:hAnsi="Bookman Old Style"/>
          <w:sz w:val="20"/>
          <w:szCs w:val="20"/>
        </w:rPr>
        <w:t xml:space="preserve">można </w:t>
      </w:r>
      <w:r w:rsidRPr="00F34B5B">
        <w:rPr>
          <w:rFonts w:ascii="Bookman Old Style" w:hAnsi="Bookman Old Style"/>
          <w:sz w:val="20"/>
          <w:szCs w:val="20"/>
        </w:rPr>
        <w:t>określać za pomocą oznaczenia wskaźnika zagęszczenia I</w:t>
      </w:r>
      <w:r w:rsidRPr="00F34B5B">
        <w:rPr>
          <w:rFonts w:ascii="Bookman Old Style" w:hAnsi="Bookman Old Style"/>
          <w:sz w:val="20"/>
          <w:szCs w:val="20"/>
          <w:vertAlign w:val="subscript"/>
        </w:rPr>
        <w:t>s</w:t>
      </w:r>
      <w:r w:rsidRPr="00F34B5B">
        <w:rPr>
          <w:rFonts w:ascii="Bookman Old Style" w:hAnsi="Bookman Old Style"/>
          <w:sz w:val="20"/>
          <w:szCs w:val="20"/>
        </w:rPr>
        <w:t>.</w:t>
      </w:r>
    </w:p>
    <w:p w14:paraId="1059D869" w14:textId="1FA0F84A" w:rsidR="00A57BFF" w:rsidRPr="00F34B5B" w:rsidRDefault="006807A9" w:rsidP="00A57BFF">
      <w:pPr>
        <w:pStyle w:val="tekstost"/>
        <w:rPr>
          <w:rFonts w:ascii="Bookman Old Style" w:hAnsi="Bookman Old Style"/>
        </w:rPr>
      </w:pPr>
      <w:r w:rsidRPr="00F34B5B">
        <w:rPr>
          <w:rFonts w:ascii="Bookman Old Style" w:hAnsi="Bookman Old Style"/>
        </w:rPr>
        <w:t>Minimalne wartości wskaźnika zagęszczenia Is gruntów w nasypach oraz wartości wtórnego modułu E</w:t>
      </w:r>
      <w:r w:rsidRPr="00F34B5B">
        <w:rPr>
          <w:rFonts w:ascii="Bookman Old Style" w:hAnsi="Bookman Old Style"/>
          <w:vertAlign w:val="subscript"/>
        </w:rPr>
        <w:t>2</w:t>
      </w:r>
      <w:r w:rsidRPr="00F34B5B">
        <w:rPr>
          <w:rFonts w:ascii="Bookman Old Style" w:hAnsi="Bookman Old Style"/>
        </w:rPr>
        <w:t xml:space="preserve"> z płyty statycznej VSS przedstawiono na rysunku</w:t>
      </w:r>
      <w:r w:rsidR="00A57BFF" w:rsidRPr="00F34B5B">
        <w:rPr>
          <w:rFonts w:ascii="Bookman Old Style" w:hAnsi="Bookman Old Style"/>
        </w:rPr>
        <w:t xml:space="preserve"> 2. </w:t>
      </w:r>
    </w:p>
    <w:p w14:paraId="032E3CC5" w14:textId="77777777" w:rsidR="008B6E9F" w:rsidRPr="00F34B5B" w:rsidRDefault="008B6E9F" w:rsidP="00A57BFF">
      <w:pPr>
        <w:pStyle w:val="tekstost"/>
        <w:rPr>
          <w:rFonts w:ascii="Bookman Old Style" w:hAnsi="Bookman Old Style"/>
        </w:rPr>
      </w:pPr>
    </w:p>
    <w:p w14:paraId="7C7867DA" w14:textId="7D61E461" w:rsidR="008B6E9F" w:rsidRPr="00F34B5B" w:rsidRDefault="008B6E9F" w:rsidP="00A57BFF">
      <w:pPr>
        <w:pStyle w:val="tekstost"/>
        <w:rPr>
          <w:rFonts w:ascii="Bookman Old Style" w:hAnsi="Bookman Old Style"/>
        </w:rPr>
      </w:pPr>
    </w:p>
    <w:p w14:paraId="55AB8B22" w14:textId="38C87D65" w:rsidR="008B6E9F" w:rsidRPr="00F34B5B" w:rsidRDefault="000F60D5" w:rsidP="00A57BFF">
      <w:pPr>
        <w:pStyle w:val="tekstost"/>
        <w:rPr>
          <w:rFonts w:ascii="Bookman Old Style" w:hAnsi="Bookman Old Style"/>
        </w:rPr>
      </w:pPr>
      <w:r w:rsidRPr="00F34B5B">
        <w:rPr>
          <w:rFonts w:ascii="Bookman Old Style" w:hAnsi="Bookman Old Style"/>
          <w:noProof/>
        </w:rPr>
        <w:lastRenderedPageBreak/>
        <w:drawing>
          <wp:inline distT="0" distB="0" distL="0" distR="0" wp14:anchorId="5A9BBF93" wp14:editId="13452C0B">
            <wp:extent cx="5756910" cy="2035810"/>
            <wp:effectExtent l="0" t="0" r="0" b="2540"/>
            <wp:docPr id="1370293663"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6910" cy="2035810"/>
                    </a:xfrm>
                    <a:prstGeom prst="rect">
                      <a:avLst/>
                    </a:prstGeom>
                    <a:noFill/>
                    <a:ln>
                      <a:noFill/>
                    </a:ln>
                  </pic:spPr>
                </pic:pic>
              </a:graphicData>
            </a:graphic>
          </wp:inline>
        </w:drawing>
      </w:r>
    </w:p>
    <w:p w14:paraId="554F0E7E" w14:textId="77777777" w:rsidR="008B6E9F" w:rsidRPr="00F34B5B" w:rsidRDefault="008B6E9F" w:rsidP="00A57BFF">
      <w:pPr>
        <w:pStyle w:val="tekstost"/>
        <w:rPr>
          <w:rFonts w:ascii="Bookman Old Style" w:hAnsi="Bookman Old Style"/>
        </w:rPr>
      </w:pPr>
    </w:p>
    <w:p w14:paraId="612D9BFB" w14:textId="77777777" w:rsidR="00A57BFF" w:rsidRPr="00F34B5B" w:rsidRDefault="00A57BFF" w:rsidP="00A57BFF">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Rys. 2. Wymagane wartości zagęszczenia gruntów w nasypach.</w:t>
      </w:r>
    </w:p>
    <w:p w14:paraId="78AA914C" w14:textId="77777777" w:rsidR="006807A9" w:rsidRPr="00F34B5B" w:rsidRDefault="006807A9" w:rsidP="00A57BFF">
      <w:pPr>
        <w:pStyle w:val="tekstost"/>
        <w:rPr>
          <w:rFonts w:ascii="Bookman Old Style" w:hAnsi="Bookman Old Style"/>
        </w:rPr>
      </w:pPr>
    </w:p>
    <w:p w14:paraId="57AAAC48" w14:textId="3F7D32F0" w:rsidR="006807A9" w:rsidRPr="00F34B5B" w:rsidRDefault="006807A9" w:rsidP="00A57BFF">
      <w:pPr>
        <w:pStyle w:val="tekstost"/>
        <w:rPr>
          <w:rFonts w:ascii="Bookman Old Style" w:hAnsi="Bookman Old Style"/>
        </w:rPr>
      </w:pPr>
      <w:r w:rsidRPr="00F34B5B">
        <w:rPr>
          <w:rFonts w:ascii="Bookman Old Style" w:hAnsi="Bookman Old Style"/>
        </w:rPr>
        <w:t xml:space="preserve">Wartość wskaźnika zagęszczenia oraz wartości modułu </w:t>
      </w:r>
      <w:r w:rsidR="00F81BAF" w:rsidRPr="00F34B5B">
        <w:rPr>
          <w:rFonts w:ascii="Bookman Old Style" w:hAnsi="Bookman Old Style"/>
        </w:rPr>
        <w:t>dynamicznego E</w:t>
      </w:r>
      <w:r w:rsidR="00F81BAF" w:rsidRPr="00F34B5B">
        <w:rPr>
          <w:rFonts w:ascii="Bookman Old Style" w:hAnsi="Bookman Old Style"/>
          <w:vertAlign w:val="subscript"/>
        </w:rPr>
        <w:t>vd</w:t>
      </w:r>
      <w:r w:rsidR="00F81BAF" w:rsidRPr="00F34B5B">
        <w:rPr>
          <w:rFonts w:ascii="Bookman Old Style" w:hAnsi="Bookman Old Style"/>
        </w:rPr>
        <w:t xml:space="preserve"> w porównaniu do statycznego modułu </w:t>
      </w:r>
      <w:r w:rsidRPr="00F34B5B">
        <w:rPr>
          <w:rFonts w:ascii="Bookman Old Style" w:hAnsi="Bookman Old Style"/>
        </w:rPr>
        <w:t>wtórnego E</w:t>
      </w:r>
      <w:r w:rsidRPr="00F34B5B">
        <w:rPr>
          <w:rFonts w:ascii="Bookman Old Style" w:hAnsi="Bookman Old Style"/>
          <w:vertAlign w:val="subscript"/>
        </w:rPr>
        <w:t>2</w:t>
      </w:r>
      <w:r w:rsidRPr="00F34B5B">
        <w:rPr>
          <w:rFonts w:ascii="Bookman Old Style" w:hAnsi="Bookman Old Style"/>
        </w:rPr>
        <w:t xml:space="preserve"> należy przyjmować zgodnie z rysunkiem 2 i tablicami 2a oraz 2b</w:t>
      </w:r>
      <w:r w:rsidR="0046657A" w:rsidRPr="00F34B5B">
        <w:rPr>
          <w:rFonts w:ascii="Bookman Old Style" w:hAnsi="Bookman Old Style"/>
        </w:rPr>
        <w:t xml:space="preserve"> i 2c</w:t>
      </w:r>
      <w:r w:rsidRPr="00F34B5B">
        <w:rPr>
          <w:rFonts w:ascii="Bookman Old Style" w:hAnsi="Bookman Old Style"/>
        </w:rPr>
        <w:t>:</w:t>
      </w:r>
    </w:p>
    <w:p w14:paraId="57DCA4A1" w14:textId="667945FE" w:rsidR="006807A9" w:rsidRPr="00F34B5B" w:rsidRDefault="006807A9" w:rsidP="006807A9">
      <w:pPr>
        <w:pStyle w:val="StandardowytekstZnak"/>
        <w:keepNext/>
        <w:keepLines/>
        <w:spacing w:before="120"/>
        <w:jc w:val="center"/>
        <w:rPr>
          <w:rFonts w:ascii="Bookman Old Style" w:hAnsi="Bookman Old Style"/>
        </w:rPr>
      </w:pPr>
      <w:r w:rsidRPr="00F34B5B">
        <w:rPr>
          <w:rFonts w:ascii="Bookman Old Style" w:hAnsi="Bookman Old Style"/>
          <w:b/>
        </w:rPr>
        <w:t>Tablica 2a</w:t>
      </w:r>
      <w:r w:rsidRPr="00F34B5B">
        <w:rPr>
          <w:rFonts w:ascii="Bookman Old Style" w:hAnsi="Bookman Old Style"/>
        </w:rPr>
        <w:t>. Minimalne wartości wskaźnika zagęszczenia warstw nasypów</w:t>
      </w:r>
    </w:p>
    <w:p w14:paraId="46A49392" w14:textId="77777777" w:rsidR="006807A9" w:rsidRPr="00F34B5B" w:rsidRDefault="006807A9" w:rsidP="006807A9">
      <w:pPr>
        <w:pStyle w:val="StandardowytekstZnak"/>
        <w:keepNext/>
        <w:keepLines/>
        <w:spacing w:before="120"/>
        <w:jc w:val="center"/>
        <w:rPr>
          <w:rFonts w:ascii="Bookman Old Style" w:hAnsi="Bookman Old Style"/>
          <w:sz w:val="10"/>
          <w:szCs w:val="10"/>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82"/>
        <w:gridCol w:w="2188"/>
        <w:gridCol w:w="2434"/>
      </w:tblGrid>
      <w:tr w:rsidR="00811811" w:rsidRPr="00F34B5B" w14:paraId="6CAF916F" w14:textId="77777777" w:rsidTr="00937077">
        <w:trPr>
          <w:trHeight w:val="470"/>
          <w:jc w:val="center"/>
        </w:trPr>
        <w:tc>
          <w:tcPr>
            <w:tcW w:w="2544" w:type="dxa"/>
            <w:vMerge w:val="restart"/>
            <w:tcBorders>
              <w:top w:val="single" w:sz="4" w:space="0" w:color="auto"/>
              <w:left w:val="single" w:sz="6" w:space="0" w:color="auto"/>
              <w:right w:val="single" w:sz="6" w:space="0" w:color="auto"/>
            </w:tcBorders>
            <w:vAlign w:val="center"/>
          </w:tcPr>
          <w:p w14:paraId="40A6BC7A" w14:textId="77777777" w:rsidR="00811811" w:rsidRPr="00F34B5B" w:rsidRDefault="00811811" w:rsidP="00A20F37">
            <w:pPr>
              <w:pStyle w:val="StandardowytekstZnak"/>
              <w:keepNext/>
              <w:keepLines/>
              <w:jc w:val="center"/>
              <w:rPr>
                <w:rFonts w:ascii="Bookman Old Style" w:hAnsi="Bookman Old Style"/>
                <w:sz w:val="18"/>
                <w:szCs w:val="18"/>
              </w:rPr>
            </w:pPr>
            <w:r w:rsidRPr="00F34B5B">
              <w:rPr>
                <w:rFonts w:ascii="Bookman Old Style" w:hAnsi="Bookman Old Style"/>
                <w:sz w:val="18"/>
                <w:szCs w:val="18"/>
              </w:rPr>
              <w:t>Strefa korpusu</w:t>
            </w:r>
          </w:p>
          <w:p w14:paraId="32BE3523" w14:textId="3E026127" w:rsidR="00811811" w:rsidRPr="00F34B5B" w:rsidRDefault="00811811" w:rsidP="00A20F37">
            <w:pPr>
              <w:pStyle w:val="StandardowytekstZnak"/>
              <w:keepNext/>
              <w:keepLines/>
              <w:jc w:val="center"/>
              <w:rPr>
                <w:rFonts w:ascii="Bookman Old Style" w:hAnsi="Bookman Old Style"/>
                <w:sz w:val="18"/>
                <w:szCs w:val="18"/>
              </w:rPr>
            </w:pPr>
            <w:r w:rsidRPr="00F34B5B">
              <w:rPr>
                <w:rFonts w:ascii="Bookman Old Style" w:hAnsi="Bookman Old Style"/>
                <w:sz w:val="18"/>
                <w:szCs w:val="18"/>
              </w:rPr>
              <w:t>(w odniesieniu do powierzchni robót ziemnych korpusu drogowego)</w:t>
            </w:r>
          </w:p>
        </w:tc>
        <w:tc>
          <w:tcPr>
            <w:tcW w:w="6804" w:type="dxa"/>
            <w:gridSpan w:val="3"/>
            <w:tcBorders>
              <w:top w:val="single" w:sz="4" w:space="0" w:color="auto"/>
              <w:left w:val="single" w:sz="6" w:space="0" w:color="auto"/>
              <w:bottom w:val="single" w:sz="6" w:space="0" w:color="auto"/>
              <w:right w:val="single" w:sz="6" w:space="0" w:color="auto"/>
            </w:tcBorders>
            <w:vAlign w:val="center"/>
          </w:tcPr>
          <w:p w14:paraId="4609452C" w14:textId="77777777" w:rsidR="00811811" w:rsidRPr="00F34B5B" w:rsidRDefault="00811811" w:rsidP="00A20F37">
            <w:pPr>
              <w:pStyle w:val="StandardowytekstZnak"/>
              <w:keepNext/>
              <w:keepLines/>
              <w:jc w:val="center"/>
              <w:rPr>
                <w:rFonts w:ascii="Bookman Old Style" w:hAnsi="Bookman Old Style"/>
              </w:rPr>
            </w:pPr>
            <w:r w:rsidRPr="00F34B5B">
              <w:rPr>
                <w:rFonts w:ascii="Bookman Old Style" w:hAnsi="Bookman Old Style"/>
              </w:rPr>
              <w:t>Minimalna wartość I</w:t>
            </w:r>
            <w:r w:rsidRPr="00F34B5B">
              <w:rPr>
                <w:rFonts w:ascii="Bookman Old Style" w:hAnsi="Bookman Old Style"/>
                <w:vertAlign w:val="subscript"/>
              </w:rPr>
              <w:t xml:space="preserve">s </w:t>
            </w:r>
            <w:r w:rsidRPr="00F34B5B">
              <w:rPr>
                <w:rFonts w:ascii="Bookman Old Style" w:hAnsi="Bookman Old Style"/>
              </w:rPr>
              <w:t>dla:</w:t>
            </w:r>
          </w:p>
        </w:tc>
      </w:tr>
      <w:tr w:rsidR="00811811" w:rsidRPr="00F34B5B" w14:paraId="4650747D" w14:textId="77777777" w:rsidTr="00F72AB8">
        <w:trPr>
          <w:trHeight w:val="731"/>
          <w:jc w:val="center"/>
        </w:trPr>
        <w:tc>
          <w:tcPr>
            <w:tcW w:w="2544" w:type="dxa"/>
            <w:vMerge/>
            <w:tcBorders>
              <w:left w:val="single" w:sz="6" w:space="0" w:color="auto"/>
              <w:bottom w:val="single" w:sz="4" w:space="0" w:color="auto"/>
              <w:right w:val="single" w:sz="6" w:space="0" w:color="auto"/>
            </w:tcBorders>
            <w:vAlign w:val="center"/>
          </w:tcPr>
          <w:p w14:paraId="266B311C" w14:textId="77777777" w:rsidR="00811811" w:rsidRPr="00F34B5B" w:rsidRDefault="00811811" w:rsidP="00A20F37">
            <w:pPr>
              <w:pStyle w:val="StandardowytekstZnak"/>
              <w:keepNext/>
              <w:keepLines/>
              <w:jc w:val="center"/>
              <w:rPr>
                <w:rFonts w:ascii="Bookman Old Style" w:hAnsi="Bookman Old Style"/>
              </w:rPr>
            </w:pPr>
          </w:p>
        </w:tc>
        <w:tc>
          <w:tcPr>
            <w:tcW w:w="2182" w:type="dxa"/>
            <w:tcBorders>
              <w:top w:val="single" w:sz="4" w:space="0" w:color="auto"/>
              <w:left w:val="single" w:sz="6" w:space="0" w:color="auto"/>
              <w:bottom w:val="single" w:sz="6" w:space="0" w:color="auto"/>
              <w:right w:val="single" w:sz="4" w:space="0" w:color="auto"/>
            </w:tcBorders>
            <w:vAlign w:val="center"/>
          </w:tcPr>
          <w:p w14:paraId="7947B44B" w14:textId="77777777" w:rsidR="00811811" w:rsidRPr="00F34B5B" w:rsidRDefault="00811811"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Droga dla pieszych i rowerów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4EDC9921" w14:textId="77777777" w:rsidR="00811811" w:rsidRPr="00F34B5B" w:rsidRDefault="00811811"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1-2</w:t>
            </w:r>
          </w:p>
          <w:p w14:paraId="7FEB78CD" w14:textId="77777777" w:rsidR="00811811" w:rsidRPr="00F34B5B" w:rsidRDefault="00811811"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oraz zjazdy</w:t>
            </w:r>
          </w:p>
        </w:tc>
        <w:tc>
          <w:tcPr>
            <w:tcW w:w="2434" w:type="dxa"/>
            <w:tcBorders>
              <w:top w:val="single" w:sz="4" w:space="0" w:color="auto"/>
              <w:left w:val="single" w:sz="4" w:space="0" w:color="auto"/>
              <w:bottom w:val="single" w:sz="6" w:space="0" w:color="auto"/>
              <w:right w:val="single" w:sz="6" w:space="0" w:color="auto"/>
            </w:tcBorders>
            <w:vAlign w:val="center"/>
          </w:tcPr>
          <w:p w14:paraId="07864D4F" w14:textId="77777777" w:rsidR="00811811" w:rsidRPr="00F34B5B" w:rsidRDefault="00811811"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3-4</w:t>
            </w:r>
          </w:p>
        </w:tc>
      </w:tr>
      <w:tr w:rsidR="006807A9" w:rsidRPr="00F34B5B" w14:paraId="3D853801" w14:textId="77777777" w:rsidTr="00811811">
        <w:trPr>
          <w:trHeight w:val="595"/>
          <w:jc w:val="center"/>
        </w:trPr>
        <w:tc>
          <w:tcPr>
            <w:tcW w:w="2544" w:type="dxa"/>
            <w:tcBorders>
              <w:top w:val="single" w:sz="4" w:space="0" w:color="auto"/>
              <w:left w:val="single" w:sz="6" w:space="0" w:color="auto"/>
              <w:bottom w:val="single" w:sz="4" w:space="0" w:color="auto"/>
              <w:right w:val="single" w:sz="6" w:space="0" w:color="auto"/>
            </w:tcBorders>
            <w:vAlign w:val="center"/>
          </w:tcPr>
          <w:p w14:paraId="1791C05F" w14:textId="16BCAD83" w:rsidR="006807A9"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do – 0,2 m</w:t>
            </w:r>
          </w:p>
        </w:tc>
        <w:tc>
          <w:tcPr>
            <w:tcW w:w="2182" w:type="dxa"/>
            <w:tcBorders>
              <w:top w:val="single" w:sz="6" w:space="0" w:color="auto"/>
              <w:left w:val="single" w:sz="6" w:space="0" w:color="auto"/>
              <w:bottom w:val="single" w:sz="6" w:space="0" w:color="auto"/>
              <w:right w:val="single" w:sz="4" w:space="0" w:color="auto"/>
            </w:tcBorders>
            <w:vAlign w:val="center"/>
          </w:tcPr>
          <w:p w14:paraId="4D8DB1A3" w14:textId="28C0546D" w:rsidR="006807A9"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 xml:space="preserve">1,0 </w:t>
            </w:r>
          </w:p>
        </w:tc>
        <w:tc>
          <w:tcPr>
            <w:tcW w:w="2188" w:type="dxa"/>
            <w:tcBorders>
              <w:top w:val="single" w:sz="6" w:space="0" w:color="auto"/>
              <w:left w:val="single" w:sz="4" w:space="0" w:color="auto"/>
              <w:bottom w:val="single" w:sz="6" w:space="0" w:color="auto"/>
              <w:right w:val="single" w:sz="4" w:space="0" w:color="auto"/>
            </w:tcBorders>
            <w:vAlign w:val="center"/>
          </w:tcPr>
          <w:p w14:paraId="4FE48BBC" w14:textId="64A148B9" w:rsidR="006807A9"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1,0</w:t>
            </w:r>
          </w:p>
        </w:tc>
        <w:tc>
          <w:tcPr>
            <w:tcW w:w="2434" w:type="dxa"/>
            <w:tcBorders>
              <w:top w:val="single" w:sz="6" w:space="0" w:color="auto"/>
              <w:left w:val="single" w:sz="4" w:space="0" w:color="auto"/>
              <w:bottom w:val="single" w:sz="6" w:space="0" w:color="auto"/>
              <w:right w:val="single" w:sz="6" w:space="0" w:color="auto"/>
            </w:tcBorders>
            <w:vAlign w:val="center"/>
          </w:tcPr>
          <w:p w14:paraId="0DD19D1E" w14:textId="77F94C0F" w:rsidR="006807A9"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1,0</w:t>
            </w:r>
          </w:p>
        </w:tc>
      </w:tr>
      <w:tr w:rsidR="004D7084" w:rsidRPr="00F34B5B" w14:paraId="218054BB" w14:textId="77777777" w:rsidTr="00811811">
        <w:trPr>
          <w:trHeight w:val="595"/>
          <w:jc w:val="center"/>
        </w:trPr>
        <w:tc>
          <w:tcPr>
            <w:tcW w:w="2544" w:type="dxa"/>
            <w:tcBorders>
              <w:top w:val="single" w:sz="4" w:space="0" w:color="auto"/>
              <w:left w:val="single" w:sz="6" w:space="0" w:color="auto"/>
              <w:bottom w:val="single" w:sz="4" w:space="0" w:color="auto"/>
              <w:right w:val="single" w:sz="6" w:space="0" w:color="auto"/>
            </w:tcBorders>
            <w:vAlign w:val="center"/>
          </w:tcPr>
          <w:p w14:paraId="23523259" w14:textId="0D5777F9"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od – 0,2 m do -1,2 m</w:t>
            </w:r>
          </w:p>
        </w:tc>
        <w:tc>
          <w:tcPr>
            <w:tcW w:w="2182" w:type="dxa"/>
            <w:tcBorders>
              <w:top w:val="single" w:sz="6" w:space="0" w:color="auto"/>
              <w:left w:val="single" w:sz="6" w:space="0" w:color="auto"/>
              <w:bottom w:val="single" w:sz="6" w:space="0" w:color="auto"/>
              <w:right w:val="single" w:sz="4" w:space="0" w:color="auto"/>
            </w:tcBorders>
            <w:vAlign w:val="center"/>
          </w:tcPr>
          <w:p w14:paraId="23625694" w14:textId="2237D1C3"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0,95</w:t>
            </w:r>
          </w:p>
        </w:tc>
        <w:tc>
          <w:tcPr>
            <w:tcW w:w="2188" w:type="dxa"/>
            <w:tcBorders>
              <w:top w:val="single" w:sz="6" w:space="0" w:color="auto"/>
              <w:left w:val="single" w:sz="4" w:space="0" w:color="auto"/>
              <w:bottom w:val="single" w:sz="6" w:space="0" w:color="auto"/>
              <w:right w:val="single" w:sz="4" w:space="0" w:color="auto"/>
            </w:tcBorders>
            <w:vAlign w:val="center"/>
          </w:tcPr>
          <w:p w14:paraId="0EA021DE" w14:textId="751B7547"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0,97</w:t>
            </w:r>
          </w:p>
        </w:tc>
        <w:tc>
          <w:tcPr>
            <w:tcW w:w="2434" w:type="dxa"/>
            <w:tcBorders>
              <w:top w:val="single" w:sz="6" w:space="0" w:color="auto"/>
              <w:left w:val="single" w:sz="4" w:space="0" w:color="auto"/>
              <w:bottom w:val="single" w:sz="6" w:space="0" w:color="auto"/>
              <w:right w:val="single" w:sz="6" w:space="0" w:color="auto"/>
            </w:tcBorders>
            <w:vAlign w:val="center"/>
          </w:tcPr>
          <w:p w14:paraId="303FFAAC" w14:textId="3A14AB2C"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1,0</w:t>
            </w:r>
          </w:p>
        </w:tc>
      </w:tr>
      <w:tr w:rsidR="004D7084" w:rsidRPr="00F34B5B" w14:paraId="6CA8F758" w14:textId="77777777" w:rsidTr="00811811">
        <w:trPr>
          <w:trHeight w:val="595"/>
          <w:jc w:val="center"/>
        </w:trPr>
        <w:tc>
          <w:tcPr>
            <w:tcW w:w="2544" w:type="dxa"/>
            <w:tcBorders>
              <w:top w:val="single" w:sz="4" w:space="0" w:color="auto"/>
              <w:left w:val="single" w:sz="6" w:space="0" w:color="auto"/>
              <w:bottom w:val="single" w:sz="4" w:space="0" w:color="auto"/>
              <w:right w:val="single" w:sz="6" w:space="0" w:color="auto"/>
            </w:tcBorders>
            <w:vAlign w:val="center"/>
          </w:tcPr>
          <w:p w14:paraId="43F23AA9" w14:textId="6C996DA7"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poniżej -1,2 m</w:t>
            </w:r>
          </w:p>
        </w:tc>
        <w:tc>
          <w:tcPr>
            <w:tcW w:w="2182" w:type="dxa"/>
            <w:tcBorders>
              <w:top w:val="single" w:sz="6" w:space="0" w:color="auto"/>
              <w:left w:val="single" w:sz="6" w:space="0" w:color="auto"/>
              <w:bottom w:val="single" w:sz="6" w:space="0" w:color="auto"/>
              <w:right w:val="single" w:sz="4" w:space="0" w:color="auto"/>
            </w:tcBorders>
            <w:vAlign w:val="center"/>
          </w:tcPr>
          <w:p w14:paraId="3EC1392A" w14:textId="518CA535"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0,92</w:t>
            </w:r>
          </w:p>
        </w:tc>
        <w:tc>
          <w:tcPr>
            <w:tcW w:w="2188" w:type="dxa"/>
            <w:tcBorders>
              <w:top w:val="single" w:sz="6" w:space="0" w:color="auto"/>
              <w:left w:val="single" w:sz="4" w:space="0" w:color="auto"/>
              <w:bottom w:val="single" w:sz="6" w:space="0" w:color="auto"/>
              <w:right w:val="single" w:sz="4" w:space="0" w:color="auto"/>
            </w:tcBorders>
            <w:vAlign w:val="center"/>
          </w:tcPr>
          <w:p w14:paraId="15BADCF2" w14:textId="2F279077" w:rsidR="004D7084" w:rsidRPr="00F34B5B" w:rsidRDefault="0046657A" w:rsidP="00A20F37">
            <w:pPr>
              <w:pStyle w:val="StandardowytekstZnak"/>
              <w:keepNext/>
              <w:keepLines/>
              <w:jc w:val="center"/>
              <w:rPr>
                <w:rFonts w:ascii="Bookman Old Style" w:hAnsi="Bookman Old Style"/>
              </w:rPr>
            </w:pPr>
            <w:r w:rsidRPr="00F34B5B">
              <w:rPr>
                <w:rFonts w:ascii="Bookman Old Style" w:hAnsi="Bookman Old Style"/>
              </w:rPr>
              <w:t>0,95</w:t>
            </w:r>
          </w:p>
        </w:tc>
        <w:tc>
          <w:tcPr>
            <w:tcW w:w="2434" w:type="dxa"/>
            <w:tcBorders>
              <w:top w:val="single" w:sz="6" w:space="0" w:color="auto"/>
              <w:left w:val="single" w:sz="4" w:space="0" w:color="auto"/>
              <w:bottom w:val="single" w:sz="6" w:space="0" w:color="auto"/>
              <w:right w:val="single" w:sz="6" w:space="0" w:color="auto"/>
            </w:tcBorders>
            <w:vAlign w:val="center"/>
          </w:tcPr>
          <w:p w14:paraId="0716D628" w14:textId="67E44F6E" w:rsidR="004D7084" w:rsidRPr="00F34B5B" w:rsidRDefault="00452B3A" w:rsidP="00A20F37">
            <w:pPr>
              <w:pStyle w:val="StandardowytekstZnak"/>
              <w:keepNext/>
              <w:keepLines/>
              <w:jc w:val="center"/>
              <w:rPr>
                <w:rFonts w:ascii="Bookman Old Style" w:hAnsi="Bookman Old Style"/>
              </w:rPr>
            </w:pPr>
            <w:r w:rsidRPr="00F34B5B">
              <w:rPr>
                <w:rFonts w:ascii="Bookman Old Style" w:hAnsi="Bookman Old Style"/>
              </w:rPr>
              <w:t>0,95 Nsp</w:t>
            </w:r>
          </w:p>
          <w:p w14:paraId="3CBAFDD7" w14:textId="0122ACFA" w:rsidR="00452B3A" w:rsidRPr="00F34B5B" w:rsidRDefault="00452B3A" w:rsidP="00A20F37">
            <w:pPr>
              <w:pStyle w:val="StandardowytekstZnak"/>
              <w:keepNext/>
              <w:keepLines/>
              <w:jc w:val="center"/>
              <w:rPr>
                <w:rFonts w:ascii="Bookman Old Style" w:hAnsi="Bookman Old Style"/>
              </w:rPr>
            </w:pPr>
            <w:r w:rsidRPr="00F34B5B">
              <w:rPr>
                <w:rFonts w:ascii="Bookman Old Style" w:hAnsi="Bookman Old Style"/>
              </w:rPr>
              <w:t>0,97 Sp</w:t>
            </w:r>
          </w:p>
        </w:tc>
      </w:tr>
    </w:tbl>
    <w:p w14:paraId="4A856E2B" w14:textId="32C2D074" w:rsidR="006807A9" w:rsidRPr="00F34B5B" w:rsidRDefault="006807A9" w:rsidP="006807A9">
      <w:pPr>
        <w:pStyle w:val="StandardowytekstZnak"/>
        <w:keepNext/>
        <w:keepLines/>
        <w:spacing w:before="120"/>
        <w:jc w:val="center"/>
        <w:rPr>
          <w:rFonts w:ascii="Bookman Old Style" w:hAnsi="Bookman Old Style"/>
        </w:rPr>
      </w:pPr>
      <w:r w:rsidRPr="00F34B5B">
        <w:rPr>
          <w:rFonts w:ascii="Bookman Old Style" w:hAnsi="Bookman Old Style"/>
          <w:b/>
        </w:rPr>
        <w:t xml:space="preserve">Tablica </w:t>
      </w:r>
      <w:r w:rsidR="00BC0361" w:rsidRPr="00F34B5B">
        <w:rPr>
          <w:rFonts w:ascii="Bookman Old Style" w:hAnsi="Bookman Old Style"/>
          <w:b/>
        </w:rPr>
        <w:t>2</w:t>
      </w:r>
      <w:r w:rsidRPr="00F34B5B">
        <w:rPr>
          <w:rFonts w:ascii="Bookman Old Style" w:hAnsi="Bookman Old Style"/>
          <w:b/>
        </w:rPr>
        <w:t>b</w:t>
      </w:r>
      <w:r w:rsidRPr="00F34B5B">
        <w:rPr>
          <w:rFonts w:ascii="Bookman Old Style" w:hAnsi="Bookman Old Style"/>
        </w:rPr>
        <w:t xml:space="preserve">. Wartości zagęszczenia i nośności </w:t>
      </w:r>
      <w:r w:rsidR="003220A0" w:rsidRPr="00F34B5B">
        <w:rPr>
          <w:rFonts w:ascii="Bookman Old Style" w:hAnsi="Bookman Old Style"/>
        </w:rPr>
        <w:t>E</w:t>
      </w:r>
      <w:r w:rsidR="003220A0" w:rsidRPr="00F34B5B">
        <w:rPr>
          <w:rFonts w:ascii="Bookman Old Style" w:hAnsi="Bookman Old Style"/>
          <w:vertAlign w:val="subscript"/>
        </w:rPr>
        <w:t>vd</w:t>
      </w:r>
      <w:r w:rsidR="003220A0" w:rsidRPr="00F34B5B">
        <w:rPr>
          <w:rFonts w:ascii="Bookman Old Style" w:hAnsi="Bookman Old Style"/>
        </w:rPr>
        <w:t xml:space="preserve"> warstw</w:t>
      </w:r>
      <w:r w:rsidRPr="00F34B5B">
        <w:rPr>
          <w:rFonts w:ascii="Bookman Old Style" w:hAnsi="Bookman Old Style"/>
        </w:rPr>
        <w:t xml:space="preserve"> nasypów</w:t>
      </w:r>
      <w:r w:rsidR="00BC0361" w:rsidRPr="00F34B5B">
        <w:rPr>
          <w:rFonts w:ascii="Bookman Old Style" w:hAnsi="Bookman Old Style"/>
        </w:rPr>
        <w:t xml:space="preserve"> z gruntów niespoistych</w:t>
      </w:r>
    </w:p>
    <w:p w14:paraId="7BE04B59" w14:textId="77777777" w:rsidR="006807A9" w:rsidRPr="00F34B5B" w:rsidRDefault="006807A9" w:rsidP="006807A9">
      <w:pPr>
        <w:pStyle w:val="StandardowytekstZnak"/>
        <w:keepNext/>
        <w:keepLines/>
        <w:spacing w:before="120"/>
        <w:jc w:val="center"/>
        <w:rPr>
          <w:rFonts w:ascii="Bookman Old Style" w:hAnsi="Bookman Old Style"/>
          <w:sz w:val="8"/>
          <w:szCs w:val="8"/>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82"/>
        <w:gridCol w:w="2188"/>
        <w:gridCol w:w="2434"/>
      </w:tblGrid>
      <w:tr w:rsidR="009C242F" w:rsidRPr="00F34B5B" w14:paraId="2453CD6A" w14:textId="77777777" w:rsidTr="00223736">
        <w:trPr>
          <w:trHeight w:val="470"/>
          <w:jc w:val="center"/>
        </w:trPr>
        <w:tc>
          <w:tcPr>
            <w:tcW w:w="2544" w:type="dxa"/>
            <w:vMerge w:val="restart"/>
            <w:tcBorders>
              <w:top w:val="single" w:sz="4" w:space="0" w:color="auto"/>
              <w:left w:val="single" w:sz="6" w:space="0" w:color="auto"/>
              <w:right w:val="single" w:sz="6" w:space="0" w:color="auto"/>
            </w:tcBorders>
            <w:vAlign w:val="center"/>
          </w:tcPr>
          <w:p w14:paraId="7B505DCD" w14:textId="77777777" w:rsidR="009C242F" w:rsidRPr="00F34B5B" w:rsidRDefault="009C242F" w:rsidP="009C242F">
            <w:pPr>
              <w:pStyle w:val="StandardowytekstZnak"/>
              <w:keepNext/>
              <w:keepLines/>
              <w:jc w:val="center"/>
              <w:rPr>
                <w:rFonts w:ascii="Bookman Old Style" w:hAnsi="Bookman Old Style"/>
                <w:sz w:val="18"/>
                <w:szCs w:val="18"/>
              </w:rPr>
            </w:pPr>
            <w:r w:rsidRPr="00F34B5B">
              <w:rPr>
                <w:rFonts w:ascii="Bookman Old Style" w:hAnsi="Bookman Old Style"/>
                <w:sz w:val="18"/>
                <w:szCs w:val="18"/>
              </w:rPr>
              <w:t>Strefa korpusu</w:t>
            </w:r>
          </w:p>
          <w:p w14:paraId="4C16204F" w14:textId="552B6C52"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sz w:val="18"/>
                <w:szCs w:val="18"/>
              </w:rPr>
              <w:t>(w odniesieniu do powierzchni robót ziemnych korpusu drogowego)</w:t>
            </w:r>
          </w:p>
        </w:tc>
        <w:tc>
          <w:tcPr>
            <w:tcW w:w="6804" w:type="dxa"/>
            <w:gridSpan w:val="3"/>
            <w:tcBorders>
              <w:top w:val="single" w:sz="4" w:space="0" w:color="auto"/>
              <w:left w:val="single" w:sz="6" w:space="0" w:color="auto"/>
              <w:bottom w:val="single" w:sz="6" w:space="0" w:color="auto"/>
              <w:right w:val="single" w:sz="6" w:space="0" w:color="auto"/>
            </w:tcBorders>
            <w:vAlign w:val="center"/>
          </w:tcPr>
          <w:p w14:paraId="2A94AA3E" w14:textId="4A1EF3CB"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Minimalna wartość E</w:t>
            </w:r>
            <w:r w:rsidRPr="00F34B5B">
              <w:rPr>
                <w:rFonts w:ascii="Bookman Old Style" w:hAnsi="Bookman Old Style"/>
                <w:vertAlign w:val="subscript"/>
              </w:rPr>
              <w:t>vd</w:t>
            </w:r>
            <w:r w:rsidRPr="00F34B5B">
              <w:rPr>
                <w:rFonts w:ascii="Bookman Old Style" w:hAnsi="Bookman Old Style"/>
              </w:rPr>
              <w:t xml:space="preserve"> </w:t>
            </w:r>
            <w:r w:rsidR="004B6716" w:rsidRPr="00F34B5B">
              <w:rPr>
                <w:rFonts w:ascii="Bookman Old Style" w:hAnsi="Bookman Old Style"/>
              </w:rPr>
              <w:t>/</w:t>
            </w:r>
            <w:r w:rsidRPr="00F34B5B">
              <w:rPr>
                <w:rFonts w:ascii="Bookman Old Style" w:hAnsi="Bookman Old Style"/>
              </w:rPr>
              <w:t xml:space="preserve"> E</w:t>
            </w:r>
            <w:r w:rsidRPr="00F34B5B">
              <w:rPr>
                <w:rFonts w:ascii="Bookman Old Style" w:hAnsi="Bookman Old Style"/>
                <w:vertAlign w:val="subscript"/>
              </w:rPr>
              <w:t>2</w:t>
            </w:r>
            <w:r w:rsidR="004B6716" w:rsidRPr="00F34B5B">
              <w:rPr>
                <w:rFonts w:ascii="Bookman Old Style" w:hAnsi="Bookman Old Style"/>
                <w:vertAlign w:val="subscript"/>
              </w:rPr>
              <w:t xml:space="preserve"> (</w:t>
            </w:r>
            <w:r w:rsidR="004B6716" w:rsidRPr="00F34B5B">
              <w:rPr>
                <w:rFonts w:ascii="Bookman Old Style" w:hAnsi="Bookman Old Style"/>
              </w:rPr>
              <w:t>zamiennie)</w:t>
            </w:r>
            <w:r w:rsidRPr="00F34B5B">
              <w:rPr>
                <w:rFonts w:ascii="Bookman Old Style" w:hAnsi="Bookman Old Style"/>
                <w:vertAlign w:val="subscript"/>
              </w:rPr>
              <w:t xml:space="preserve"> </w:t>
            </w:r>
            <w:r w:rsidRPr="00F34B5B">
              <w:rPr>
                <w:rFonts w:ascii="Bookman Old Style" w:hAnsi="Bookman Old Style"/>
              </w:rPr>
              <w:t>dla:</w:t>
            </w:r>
          </w:p>
        </w:tc>
      </w:tr>
      <w:tr w:rsidR="009C242F" w:rsidRPr="00F34B5B" w14:paraId="1F657D43" w14:textId="77777777" w:rsidTr="00223736">
        <w:trPr>
          <w:trHeight w:val="402"/>
          <w:jc w:val="center"/>
        </w:trPr>
        <w:tc>
          <w:tcPr>
            <w:tcW w:w="2544" w:type="dxa"/>
            <w:vMerge/>
            <w:tcBorders>
              <w:left w:val="single" w:sz="6" w:space="0" w:color="auto"/>
              <w:bottom w:val="single" w:sz="4" w:space="0" w:color="auto"/>
              <w:right w:val="single" w:sz="6" w:space="0" w:color="auto"/>
            </w:tcBorders>
            <w:vAlign w:val="center"/>
          </w:tcPr>
          <w:p w14:paraId="12CDB210" w14:textId="77777777" w:rsidR="009C242F" w:rsidRPr="00F34B5B" w:rsidRDefault="009C242F" w:rsidP="009C242F">
            <w:pPr>
              <w:pStyle w:val="StandardowytekstZnak"/>
              <w:keepNext/>
              <w:keepLines/>
              <w:jc w:val="center"/>
              <w:rPr>
                <w:rFonts w:ascii="Bookman Old Style" w:hAnsi="Bookman Old Style"/>
              </w:rPr>
            </w:pPr>
          </w:p>
        </w:tc>
        <w:tc>
          <w:tcPr>
            <w:tcW w:w="2182" w:type="dxa"/>
            <w:tcBorders>
              <w:top w:val="single" w:sz="4" w:space="0" w:color="auto"/>
              <w:left w:val="single" w:sz="6" w:space="0" w:color="auto"/>
              <w:bottom w:val="single" w:sz="6" w:space="0" w:color="auto"/>
              <w:right w:val="single" w:sz="4" w:space="0" w:color="auto"/>
            </w:tcBorders>
            <w:vAlign w:val="center"/>
          </w:tcPr>
          <w:p w14:paraId="0B92574E" w14:textId="77777777" w:rsidR="009C242F" w:rsidRPr="00F34B5B" w:rsidRDefault="009C242F" w:rsidP="009C242F">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Droga dla pieszych i rowerów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082C0FE6" w14:textId="77777777" w:rsidR="009C242F" w:rsidRPr="00F34B5B" w:rsidRDefault="009C242F" w:rsidP="009C242F">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1-2</w:t>
            </w:r>
          </w:p>
        </w:tc>
        <w:tc>
          <w:tcPr>
            <w:tcW w:w="2434" w:type="dxa"/>
            <w:tcBorders>
              <w:top w:val="single" w:sz="4" w:space="0" w:color="auto"/>
              <w:left w:val="single" w:sz="4" w:space="0" w:color="auto"/>
              <w:bottom w:val="single" w:sz="6" w:space="0" w:color="auto"/>
              <w:right w:val="single" w:sz="6" w:space="0" w:color="auto"/>
            </w:tcBorders>
            <w:vAlign w:val="center"/>
          </w:tcPr>
          <w:p w14:paraId="1D6AA5C0" w14:textId="77777777" w:rsidR="009C242F" w:rsidRPr="00F34B5B" w:rsidRDefault="009C242F" w:rsidP="009C242F">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3-4</w:t>
            </w:r>
          </w:p>
        </w:tc>
      </w:tr>
      <w:tr w:rsidR="009C242F" w:rsidRPr="00F34B5B" w14:paraId="2B2446F0" w14:textId="77777777" w:rsidTr="00250E2B">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1CD2ACEF" w14:textId="7DE76086"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do – 0,2 m</w:t>
            </w:r>
          </w:p>
        </w:tc>
        <w:tc>
          <w:tcPr>
            <w:tcW w:w="2182" w:type="dxa"/>
            <w:tcBorders>
              <w:top w:val="single" w:sz="6" w:space="0" w:color="auto"/>
              <w:left w:val="single" w:sz="4" w:space="0" w:color="auto"/>
              <w:bottom w:val="single" w:sz="6" w:space="0" w:color="auto"/>
              <w:right w:val="single" w:sz="4" w:space="0" w:color="auto"/>
            </w:tcBorders>
            <w:vAlign w:val="center"/>
          </w:tcPr>
          <w:p w14:paraId="2904D6A5" w14:textId="47222CA4"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30 / 60</w:t>
            </w:r>
          </w:p>
        </w:tc>
        <w:tc>
          <w:tcPr>
            <w:tcW w:w="2188" w:type="dxa"/>
            <w:tcBorders>
              <w:top w:val="single" w:sz="6" w:space="0" w:color="auto"/>
              <w:left w:val="single" w:sz="4" w:space="0" w:color="auto"/>
              <w:bottom w:val="single" w:sz="6" w:space="0" w:color="auto"/>
              <w:right w:val="single" w:sz="4" w:space="0" w:color="auto"/>
            </w:tcBorders>
            <w:vAlign w:val="center"/>
          </w:tcPr>
          <w:p w14:paraId="39AB323D" w14:textId="159220E6"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40 / 80</w:t>
            </w:r>
          </w:p>
        </w:tc>
        <w:tc>
          <w:tcPr>
            <w:tcW w:w="2434" w:type="dxa"/>
            <w:tcBorders>
              <w:top w:val="single" w:sz="6" w:space="0" w:color="auto"/>
              <w:left w:val="single" w:sz="4" w:space="0" w:color="auto"/>
              <w:bottom w:val="single" w:sz="6" w:space="0" w:color="auto"/>
              <w:right w:val="single" w:sz="6" w:space="0" w:color="auto"/>
            </w:tcBorders>
            <w:vAlign w:val="center"/>
          </w:tcPr>
          <w:p w14:paraId="77B30DC5" w14:textId="06EEA211"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50 / 100</w:t>
            </w:r>
          </w:p>
        </w:tc>
      </w:tr>
      <w:tr w:rsidR="009C242F" w:rsidRPr="00F34B5B" w14:paraId="6E733A2F" w14:textId="77777777" w:rsidTr="00250E2B">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30B7B8FD" w14:textId="306EF39C"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od – 0,2 m do -1,2 m</w:t>
            </w:r>
          </w:p>
        </w:tc>
        <w:tc>
          <w:tcPr>
            <w:tcW w:w="2182" w:type="dxa"/>
            <w:tcBorders>
              <w:top w:val="single" w:sz="6" w:space="0" w:color="auto"/>
              <w:left w:val="single" w:sz="4" w:space="0" w:color="auto"/>
              <w:bottom w:val="single" w:sz="6" w:space="0" w:color="auto"/>
              <w:right w:val="single" w:sz="4" w:space="0" w:color="auto"/>
            </w:tcBorders>
            <w:vAlign w:val="center"/>
          </w:tcPr>
          <w:p w14:paraId="19975CA2" w14:textId="5A47C796"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15 / 30</w:t>
            </w:r>
          </w:p>
        </w:tc>
        <w:tc>
          <w:tcPr>
            <w:tcW w:w="2188" w:type="dxa"/>
            <w:tcBorders>
              <w:top w:val="single" w:sz="6" w:space="0" w:color="auto"/>
              <w:left w:val="single" w:sz="4" w:space="0" w:color="auto"/>
              <w:bottom w:val="single" w:sz="6" w:space="0" w:color="auto"/>
              <w:right w:val="single" w:sz="4" w:space="0" w:color="auto"/>
            </w:tcBorders>
            <w:vAlign w:val="center"/>
          </w:tcPr>
          <w:p w14:paraId="5EC9838C" w14:textId="67AB2954" w:rsidR="009C242F" w:rsidRPr="00F34B5B" w:rsidRDefault="004B6716" w:rsidP="009C242F">
            <w:pPr>
              <w:pStyle w:val="StandardowytekstZnak"/>
              <w:keepNext/>
              <w:keepLines/>
              <w:jc w:val="center"/>
              <w:rPr>
                <w:rFonts w:ascii="Bookman Old Style" w:hAnsi="Bookman Old Style"/>
              </w:rPr>
            </w:pPr>
            <w:r w:rsidRPr="00F34B5B">
              <w:rPr>
                <w:rFonts w:ascii="Bookman Old Style" w:hAnsi="Bookman Old Style"/>
              </w:rPr>
              <w:t>25</w:t>
            </w:r>
            <w:r w:rsidR="009C242F" w:rsidRPr="00F34B5B">
              <w:rPr>
                <w:rFonts w:ascii="Bookman Old Style" w:hAnsi="Bookman Old Style"/>
              </w:rPr>
              <w:t xml:space="preserve"> / </w:t>
            </w:r>
            <w:r w:rsidRPr="00F34B5B">
              <w:rPr>
                <w:rFonts w:ascii="Bookman Old Style" w:hAnsi="Bookman Old Style"/>
              </w:rPr>
              <w:t>50</w:t>
            </w:r>
          </w:p>
        </w:tc>
        <w:tc>
          <w:tcPr>
            <w:tcW w:w="2434" w:type="dxa"/>
            <w:tcBorders>
              <w:top w:val="single" w:sz="6" w:space="0" w:color="auto"/>
              <w:left w:val="single" w:sz="4" w:space="0" w:color="auto"/>
              <w:bottom w:val="single" w:sz="6" w:space="0" w:color="auto"/>
              <w:right w:val="single" w:sz="6" w:space="0" w:color="auto"/>
            </w:tcBorders>
            <w:vAlign w:val="center"/>
          </w:tcPr>
          <w:p w14:paraId="73C883BF" w14:textId="7E8C287F"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25 / 50</w:t>
            </w:r>
          </w:p>
        </w:tc>
      </w:tr>
      <w:tr w:rsidR="009C242F" w:rsidRPr="00F34B5B" w14:paraId="7918D237" w14:textId="77777777" w:rsidTr="00250E2B">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2C095B72" w14:textId="2B847620"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poniżej -1,2 m</w:t>
            </w:r>
          </w:p>
        </w:tc>
        <w:tc>
          <w:tcPr>
            <w:tcW w:w="2182" w:type="dxa"/>
            <w:tcBorders>
              <w:top w:val="single" w:sz="6" w:space="0" w:color="auto"/>
              <w:left w:val="single" w:sz="4" w:space="0" w:color="auto"/>
              <w:bottom w:val="single" w:sz="6" w:space="0" w:color="auto"/>
              <w:right w:val="single" w:sz="4" w:space="0" w:color="auto"/>
            </w:tcBorders>
            <w:vAlign w:val="center"/>
          </w:tcPr>
          <w:p w14:paraId="2803C177" w14:textId="14EDB100"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10 / 20</w:t>
            </w:r>
          </w:p>
        </w:tc>
        <w:tc>
          <w:tcPr>
            <w:tcW w:w="2188" w:type="dxa"/>
            <w:tcBorders>
              <w:top w:val="single" w:sz="6" w:space="0" w:color="auto"/>
              <w:left w:val="single" w:sz="4" w:space="0" w:color="auto"/>
              <w:bottom w:val="single" w:sz="6" w:space="0" w:color="auto"/>
              <w:right w:val="single" w:sz="4" w:space="0" w:color="auto"/>
            </w:tcBorders>
            <w:vAlign w:val="center"/>
          </w:tcPr>
          <w:p w14:paraId="3321BD89" w14:textId="10C56AD0"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15 / 30</w:t>
            </w:r>
          </w:p>
        </w:tc>
        <w:tc>
          <w:tcPr>
            <w:tcW w:w="2434" w:type="dxa"/>
            <w:tcBorders>
              <w:top w:val="single" w:sz="6" w:space="0" w:color="auto"/>
              <w:left w:val="single" w:sz="4" w:space="0" w:color="auto"/>
              <w:bottom w:val="single" w:sz="6" w:space="0" w:color="auto"/>
              <w:right w:val="single" w:sz="6" w:space="0" w:color="auto"/>
            </w:tcBorders>
            <w:vAlign w:val="center"/>
          </w:tcPr>
          <w:p w14:paraId="3070F94D" w14:textId="714552C9" w:rsidR="009C242F" w:rsidRPr="00F34B5B" w:rsidRDefault="009C242F" w:rsidP="009C242F">
            <w:pPr>
              <w:pStyle w:val="StandardowytekstZnak"/>
              <w:keepNext/>
              <w:keepLines/>
              <w:jc w:val="center"/>
              <w:rPr>
                <w:rFonts w:ascii="Bookman Old Style" w:hAnsi="Bookman Old Style"/>
              </w:rPr>
            </w:pPr>
            <w:r w:rsidRPr="00F34B5B">
              <w:rPr>
                <w:rFonts w:ascii="Bookman Old Style" w:hAnsi="Bookman Old Style"/>
              </w:rPr>
              <w:t>20 / 35</w:t>
            </w:r>
          </w:p>
        </w:tc>
      </w:tr>
    </w:tbl>
    <w:p w14:paraId="558C0A65" w14:textId="77777777" w:rsidR="006807A9" w:rsidRPr="00F34B5B" w:rsidRDefault="006807A9" w:rsidP="006807A9">
      <w:pPr>
        <w:overflowPunct w:val="0"/>
        <w:autoSpaceDE w:val="0"/>
        <w:autoSpaceDN w:val="0"/>
        <w:adjustRightInd w:val="0"/>
        <w:jc w:val="both"/>
        <w:rPr>
          <w:rFonts w:ascii="Bookman Old Style" w:hAnsi="Bookman Old Style"/>
          <w:sz w:val="6"/>
          <w:szCs w:val="6"/>
        </w:rPr>
      </w:pPr>
    </w:p>
    <w:p w14:paraId="0E16DC4A" w14:textId="547AA943" w:rsidR="00250E2B" w:rsidRPr="00F34B5B" w:rsidRDefault="00250E2B" w:rsidP="00250E2B">
      <w:pPr>
        <w:pStyle w:val="StandardowytekstZnak"/>
        <w:keepNext/>
        <w:keepLines/>
        <w:spacing w:before="120"/>
        <w:jc w:val="center"/>
        <w:rPr>
          <w:rFonts w:ascii="Bookman Old Style" w:hAnsi="Bookman Old Style"/>
        </w:rPr>
      </w:pPr>
      <w:r w:rsidRPr="00F34B5B">
        <w:rPr>
          <w:rFonts w:ascii="Bookman Old Style" w:hAnsi="Bookman Old Style"/>
          <w:b/>
        </w:rPr>
        <w:t>Tablica 2c</w:t>
      </w:r>
      <w:r w:rsidRPr="00F34B5B">
        <w:rPr>
          <w:rFonts w:ascii="Bookman Old Style" w:hAnsi="Bookman Old Style"/>
        </w:rPr>
        <w:t>. Wartości zagęszczenia i nośności E</w:t>
      </w:r>
      <w:r w:rsidRPr="00F34B5B">
        <w:rPr>
          <w:rFonts w:ascii="Bookman Old Style" w:hAnsi="Bookman Old Style"/>
          <w:vertAlign w:val="subscript"/>
        </w:rPr>
        <w:t>vd</w:t>
      </w:r>
      <w:r w:rsidRPr="00F34B5B">
        <w:rPr>
          <w:rFonts w:ascii="Bookman Old Style" w:hAnsi="Bookman Old Style"/>
        </w:rPr>
        <w:t xml:space="preserve"> warstw nasypów z gruntów spoistych</w:t>
      </w:r>
    </w:p>
    <w:p w14:paraId="1E0DCB1E" w14:textId="77777777" w:rsidR="00250E2B" w:rsidRPr="00F34B5B" w:rsidRDefault="00250E2B" w:rsidP="00250E2B">
      <w:pPr>
        <w:pStyle w:val="StandardowytekstZnak"/>
        <w:keepNext/>
        <w:keepLines/>
        <w:spacing w:before="120"/>
        <w:jc w:val="center"/>
        <w:rPr>
          <w:rFonts w:ascii="Bookman Old Style" w:hAnsi="Bookman Old Style"/>
          <w:sz w:val="8"/>
          <w:szCs w:val="8"/>
        </w:rPr>
      </w:pPr>
    </w:p>
    <w:tbl>
      <w:tblPr>
        <w:tblW w:w="9348" w:type="dxa"/>
        <w:jc w:val="center"/>
        <w:tblLayout w:type="fixed"/>
        <w:tblCellMar>
          <w:left w:w="70" w:type="dxa"/>
          <w:right w:w="70" w:type="dxa"/>
        </w:tblCellMar>
        <w:tblLook w:val="0000" w:firstRow="0" w:lastRow="0" w:firstColumn="0" w:lastColumn="0" w:noHBand="0" w:noVBand="0"/>
      </w:tblPr>
      <w:tblGrid>
        <w:gridCol w:w="2544"/>
        <w:gridCol w:w="2182"/>
        <w:gridCol w:w="2188"/>
        <w:gridCol w:w="2434"/>
      </w:tblGrid>
      <w:tr w:rsidR="00250E2B" w:rsidRPr="00F34B5B" w14:paraId="736E3D04" w14:textId="77777777" w:rsidTr="00A20F37">
        <w:trPr>
          <w:trHeight w:val="470"/>
          <w:jc w:val="center"/>
        </w:trPr>
        <w:tc>
          <w:tcPr>
            <w:tcW w:w="2544" w:type="dxa"/>
            <w:vMerge w:val="restart"/>
            <w:tcBorders>
              <w:top w:val="single" w:sz="4" w:space="0" w:color="auto"/>
              <w:left w:val="single" w:sz="6" w:space="0" w:color="auto"/>
              <w:right w:val="single" w:sz="6" w:space="0" w:color="auto"/>
            </w:tcBorders>
            <w:vAlign w:val="center"/>
          </w:tcPr>
          <w:p w14:paraId="1235F546" w14:textId="77777777" w:rsidR="00250E2B" w:rsidRPr="00F34B5B" w:rsidRDefault="00250E2B" w:rsidP="00A20F37">
            <w:pPr>
              <w:pStyle w:val="StandardowytekstZnak"/>
              <w:keepNext/>
              <w:keepLines/>
              <w:jc w:val="center"/>
              <w:rPr>
                <w:rFonts w:ascii="Bookman Old Style" w:hAnsi="Bookman Old Style"/>
                <w:sz w:val="18"/>
                <w:szCs w:val="18"/>
              </w:rPr>
            </w:pPr>
            <w:r w:rsidRPr="00F34B5B">
              <w:rPr>
                <w:rFonts w:ascii="Bookman Old Style" w:hAnsi="Bookman Old Style"/>
                <w:sz w:val="18"/>
                <w:szCs w:val="18"/>
              </w:rPr>
              <w:t>Strefa korpusu</w:t>
            </w:r>
          </w:p>
          <w:p w14:paraId="3B0F3AD3" w14:textId="77777777" w:rsidR="00250E2B" w:rsidRPr="00F34B5B" w:rsidRDefault="00250E2B" w:rsidP="00A20F37">
            <w:pPr>
              <w:pStyle w:val="StandardowytekstZnak"/>
              <w:keepNext/>
              <w:keepLines/>
              <w:jc w:val="center"/>
              <w:rPr>
                <w:rFonts w:ascii="Bookman Old Style" w:hAnsi="Bookman Old Style"/>
              </w:rPr>
            </w:pPr>
            <w:r w:rsidRPr="00F34B5B">
              <w:rPr>
                <w:rFonts w:ascii="Bookman Old Style" w:hAnsi="Bookman Old Style"/>
                <w:sz w:val="18"/>
                <w:szCs w:val="18"/>
              </w:rPr>
              <w:t>(w odniesieniu do powierzchni robót ziemnych korpusu drogowego)</w:t>
            </w:r>
          </w:p>
        </w:tc>
        <w:tc>
          <w:tcPr>
            <w:tcW w:w="6804" w:type="dxa"/>
            <w:gridSpan w:val="3"/>
            <w:tcBorders>
              <w:top w:val="single" w:sz="4" w:space="0" w:color="auto"/>
              <w:left w:val="single" w:sz="6" w:space="0" w:color="auto"/>
              <w:bottom w:val="single" w:sz="6" w:space="0" w:color="auto"/>
              <w:right w:val="single" w:sz="6" w:space="0" w:color="auto"/>
            </w:tcBorders>
            <w:vAlign w:val="center"/>
          </w:tcPr>
          <w:p w14:paraId="52507390" w14:textId="6B2D31DC" w:rsidR="00250E2B" w:rsidRPr="00F34B5B" w:rsidRDefault="00250E2B" w:rsidP="00A20F37">
            <w:pPr>
              <w:pStyle w:val="StandardowytekstZnak"/>
              <w:keepNext/>
              <w:keepLines/>
              <w:jc w:val="center"/>
              <w:rPr>
                <w:rFonts w:ascii="Bookman Old Style" w:hAnsi="Bookman Old Style"/>
              </w:rPr>
            </w:pPr>
            <w:r w:rsidRPr="00F34B5B">
              <w:rPr>
                <w:rFonts w:ascii="Bookman Old Style" w:hAnsi="Bookman Old Style"/>
              </w:rPr>
              <w:t>Minimalna wartość E</w:t>
            </w:r>
            <w:r w:rsidRPr="00F34B5B">
              <w:rPr>
                <w:rFonts w:ascii="Bookman Old Style" w:hAnsi="Bookman Old Style"/>
                <w:vertAlign w:val="subscript"/>
              </w:rPr>
              <w:t>vd</w:t>
            </w:r>
            <w:r w:rsidRPr="00F34B5B">
              <w:rPr>
                <w:rFonts w:ascii="Bookman Old Style" w:hAnsi="Bookman Old Style"/>
              </w:rPr>
              <w:t xml:space="preserve"> </w:t>
            </w:r>
            <w:r w:rsidR="004B6716" w:rsidRPr="00F34B5B">
              <w:rPr>
                <w:rFonts w:ascii="Bookman Old Style" w:hAnsi="Bookman Old Style"/>
              </w:rPr>
              <w:t xml:space="preserve">/ </w:t>
            </w:r>
            <w:r w:rsidRPr="00F34B5B">
              <w:rPr>
                <w:rFonts w:ascii="Bookman Old Style" w:hAnsi="Bookman Old Style"/>
              </w:rPr>
              <w:t>E</w:t>
            </w:r>
            <w:r w:rsidRPr="00F34B5B">
              <w:rPr>
                <w:rFonts w:ascii="Bookman Old Style" w:hAnsi="Bookman Old Style"/>
                <w:vertAlign w:val="subscript"/>
              </w:rPr>
              <w:t>2</w:t>
            </w:r>
            <w:r w:rsidR="004B6716" w:rsidRPr="00F34B5B">
              <w:rPr>
                <w:rFonts w:ascii="Bookman Old Style" w:hAnsi="Bookman Old Style"/>
                <w:vertAlign w:val="subscript"/>
              </w:rPr>
              <w:t xml:space="preserve"> (</w:t>
            </w:r>
            <w:r w:rsidR="004B6716" w:rsidRPr="00F34B5B">
              <w:rPr>
                <w:rFonts w:ascii="Bookman Old Style" w:hAnsi="Bookman Old Style"/>
              </w:rPr>
              <w:t>zamiennie)</w:t>
            </w:r>
            <w:r w:rsidRPr="00F34B5B">
              <w:rPr>
                <w:rFonts w:ascii="Bookman Old Style" w:hAnsi="Bookman Old Style"/>
                <w:vertAlign w:val="subscript"/>
              </w:rPr>
              <w:t xml:space="preserve"> </w:t>
            </w:r>
            <w:r w:rsidRPr="00F34B5B">
              <w:rPr>
                <w:rFonts w:ascii="Bookman Old Style" w:hAnsi="Bookman Old Style"/>
              </w:rPr>
              <w:t>dla:</w:t>
            </w:r>
          </w:p>
        </w:tc>
      </w:tr>
      <w:tr w:rsidR="00250E2B" w:rsidRPr="00F34B5B" w14:paraId="66314F3A" w14:textId="77777777" w:rsidTr="00A20F37">
        <w:trPr>
          <w:trHeight w:val="402"/>
          <w:jc w:val="center"/>
        </w:trPr>
        <w:tc>
          <w:tcPr>
            <w:tcW w:w="2544" w:type="dxa"/>
            <w:vMerge/>
            <w:tcBorders>
              <w:left w:val="single" w:sz="6" w:space="0" w:color="auto"/>
              <w:bottom w:val="single" w:sz="4" w:space="0" w:color="auto"/>
              <w:right w:val="single" w:sz="6" w:space="0" w:color="auto"/>
            </w:tcBorders>
            <w:vAlign w:val="center"/>
          </w:tcPr>
          <w:p w14:paraId="6727BD42" w14:textId="77777777" w:rsidR="00250E2B" w:rsidRPr="00F34B5B" w:rsidRDefault="00250E2B" w:rsidP="00A20F37">
            <w:pPr>
              <w:pStyle w:val="StandardowytekstZnak"/>
              <w:keepNext/>
              <w:keepLines/>
              <w:jc w:val="center"/>
              <w:rPr>
                <w:rFonts w:ascii="Bookman Old Style" w:hAnsi="Bookman Old Style"/>
              </w:rPr>
            </w:pPr>
          </w:p>
        </w:tc>
        <w:tc>
          <w:tcPr>
            <w:tcW w:w="2182" w:type="dxa"/>
            <w:tcBorders>
              <w:top w:val="single" w:sz="4" w:space="0" w:color="auto"/>
              <w:left w:val="single" w:sz="6" w:space="0" w:color="auto"/>
              <w:bottom w:val="single" w:sz="6" w:space="0" w:color="auto"/>
              <w:right w:val="single" w:sz="4" w:space="0" w:color="auto"/>
            </w:tcBorders>
            <w:vAlign w:val="center"/>
          </w:tcPr>
          <w:p w14:paraId="7A948216" w14:textId="77777777" w:rsidR="00250E2B" w:rsidRPr="00F34B5B" w:rsidRDefault="00250E2B"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Droga dla pieszych i rowerów i chodniki</w:t>
            </w:r>
          </w:p>
        </w:tc>
        <w:tc>
          <w:tcPr>
            <w:tcW w:w="2188" w:type="dxa"/>
            <w:tcBorders>
              <w:top w:val="single" w:sz="4" w:space="0" w:color="auto"/>
              <w:left w:val="single" w:sz="4" w:space="0" w:color="auto"/>
              <w:bottom w:val="single" w:sz="6" w:space="0" w:color="auto"/>
              <w:right w:val="single" w:sz="4" w:space="0" w:color="auto"/>
            </w:tcBorders>
            <w:vAlign w:val="center"/>
          </w:tcPr>
          <w:p w14:paraId="2E4F8286" w14:textId="77777777" w:rsidR="00250E2B" w:rsidRPr="00F34B5B" w:rsidRDefault="00250E2B"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1-2</w:t>
            </w:r>
          </w:p>
        </w:tc>
        <w:tc>
          <w:tcPr>
            <w:tcW w:w="2434" w:type="dxa"/>
            <w:tcBorders>
              <w:top w:val="single" w:sz="4" w:space="0" w:color="auto"/>
              <w:left w:val="single" w:sz="4" w:space="0" w:color="auto"/>
              <w:bottom w:val="single" w:sz="6" w:space="0" w:color="auto"/>
              <w:right w:val="single" w:sz="6" w:space="0" w:color="auto"/>
            </w:tcBorders>
            <w:vAlign w:val="center"/>
          </w:tcPr>
          <w:p w14:paraId="3B4F2453" w14:textId="77777777" w:rsidR="00250E2B" w:rsidRPr="00F34B5B" w:rsidRDefault="00250E2B" w:rsidP="00A20F37">
            <w:pPr>
              <w:pStyle w:val="StandardowytekstZnak"/>
              <w:keepNext/>
              <w:keepLines/>
              <w:jc w:val="center"/>
              <w:rPr>
                <w:rFonts w:ascii="Bookman Old Style" w:hAnsi="Bookman Old Style"/>
                <w:sz w:val="17"/>
                <w:szCs w:val="17"/>
              </w:rPr>
            </w:pPr>
            <w:r w:rsidRPr="00F34B5B">
              <w:rPr>
                <w:rFonts w:ascii="Bookman Old Style" w:hAnsi="Bookman Old Style"/>
                <w:sz w:val="17"/>
                <w:szCs w:val="17"/>
              </w:rPr>
              <w:t>Kategoria ruchu KR 3-4</w:t>
            </w:r>
          </w:p>
        </w:tc>
      </w:tr>
      <w:tr w:rsidR="00AF74EA" w:rsidRPr="00F34B5B" w14:paraId="64090495" w14:textId="77777777" w:rsidTr="00A20F37">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0CB9646D" w14:textId="77777777"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do – 0,2 m</w:t>
            </w:r>
          </w:p>
        </w:tc>
        <w:tc>
          <w:tcPr>
            <w:tcW w:w="2182" w:type="dxa"/>
            <w:tcBorders>
              <w:top w:val="single" w:sz="6" w:space="0" w:color="auto"/>
              <w:left w:val="single" w:sz="4" w:space="0" w:color="auto"/>
              <w:bottom w:val="single" w:sz="6" w:space="0" w:color="auto"/>
              <w:right w:val="single" w:sz="4" w:space="0" w:color="auto"/>
            </w:tcBorders>
            <w:vAlign w:val="center"/>
          </w:tcPr>
          <w:p w14:paraId="3F4E62D8" w14:textId="06FC256E"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30 / 60</w:t>
            </w:r>
          </w:p>
        </w:tc>
        <w:tc>
          <w:tcPr>
            <w:tcW w:w="2188" w:type="dxa"/>
            <w:tcBorders>
              <w:top w:val="single" w:sz="6" w:space="0" w:color="auto"/>
              <w:left w:val="single" w:sz="4" w:space="0" w:color="auto"/>
              <w:bottom w:val="single" w:sz="6" w:space="0" w:color="auto"/>
              <w:right w:val="single" w:sz="4" w:space="0" w:color="auto"/>
            </w:tcBorders>
            <w:vAlign w:val="center"/>
          </w:tcPr>
          <w:p w14:paraId="3D32C99E" w14:textId="5F3D0636"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40 / 80</w:t>
            </w:r>
          </w:p>
        </w:tc>
        <w:tc>
          <w:tcPr>
            <w:tcW w:w="2434" w:type="dxa"/>
            <w:tcBorders>
              <w:top w:val="single" w:sz="6" w:space="0" w:color="auto"/>
              <w:left w:val="single" w:sz="4" w:space="0" w:color="auto"/>
              <w:bottom w:val="single" w:sz="6" w:space="0" w:color="auto"/>
              <w:right w:val="single" w:sz="6" w:space="0" w:color="auto"/>
            </w:tcBorders>
            <w:vAlign w:val="center"/>
          </w:tcPr>
          <w:p w14:paraId="606D815F" w14:textId="77777777"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50 / 100</w:t>
            </w:r>
          </w:p>
        </w:tc>
      </w:tr>
      <w:tr w:rsidR="00AF74EA" w:rsidRPr="00F34B5B" w14:paraId="596773CE" w14:textId="77777777" w:rsidTr="00A20F37">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4901B79F" w14:textId="77777777"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od – 0,2 m do -1,2 m</w:t>
            </w:r>
          </w:p>
        </w:tc>
        <w:tc>
          <w:tcPr>
            <w:tcW w:w="2182" w:type="dxa"/>
            <w:tcBorders>
              <w:top w:val="single" w:sz="6" w:space="0" w:color="auto"/>
              <w:left w:val="single" w:sz="4" w:space="0" w:color="auto"/>
              <w:bottom w:val="single" w:sz="6" w:space="0" w:color="auto"/>
              <w:right w:val="single" w:sz="4" w:space="0" w:color="auto"/>
            </w:tcBorders>
            <w:vAlign w:val="center"/>
          </w:tcPr>
          <w:p w14:paraId="61EE3363" w14:textId="1234A9E1"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15 / 30</w:t>
            </w:r>
          </w:p>
        </w:tc>
        <w:tc>
          <w:tcPr>
            <w:tcW w:w="2188" w:type="dxa"/>
            <w:tcBorders>
              <w:top w:val="single" w:sz="6" w:space="0" w:color="auto"/>
              <w:left w:val="single" w:sz="4" w:space="0" w:color="auto"/>
              <w:bottom w:val="single" w:sz="6" w:space="0" w:color="auto"/>
              <w:right w:val="single" w:sz="4" w:space="0" w:color="auto"/>
            </w:tcBorders>
            <w:vAlign w:val="center"/>
          </w:tcPr>
          <w:p w14:paraId="0A365AFF" w14:textId="310D57C7"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20 /35</w:t>
            </w:r>
          </w:p>
        </w:tc>
        <w:tc>
          <w:tcPr>
            <w:tcW w:w="2434" w:type="dxa"/>
            <w:tcBorders>
              <w:top w:val="single" w:sz="6" w:space="0" w:color="auto"/>
              <w:left w:val="single" w:sz="4" w:space="0" w:color="auto"/>
              <w:bottom w:val="single" w:sz="6" w:space="0" w:color="auto"/>
              <w:right w:val="single" w:sz="6" w:space="0" w:color="auto"/>
            </w:tcBorders>
            <w:vAlign w:val="center"/>
          </w:tcPr>
          <w:p w14:paraId="624DB00B" w14:textId="5B774FC1"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20 / 35</w:t>
            </w:r>
          </w:p>
        </w:tc>
      </w:tr>
      <w:tr w:rsidR="00AF74EA" w:rsidRPr="00F34B5B" w14:paraId="4B6C53F2" w14:textId="77777777" w:rsidTr="00A20F37">
        <w:trPr>
          <w:trHeight w:val="283"/>
          <w:jc w:val="center"/>
        </w:trPr>
        <w:tc>
          <w:tcPr>
            <w:tcW w:w="2544" w:type="dxa"/>
            <w:tcBorders>
              <w:top w:val="single" w:sz="4" w:space="0" w:color="auto"/>
              <w:left w:val="single" w:sz="4" w:space="0" w:color="auto"/>
              <w:bottom w:val="single" w:sz="4" w:space="0" w:color="auto"/>
              <w:right w:val="single" w:sz="4" w:space="0" w:color="auto"/>
            </w:tcBorders>
            <w:vAlign w:val="center"/>
          </w:tcPr>
          <w:p w14:paraId="70D28F8F" w14:textId="77777777"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poniżej -1,2 m</w:t>
            </w:r>
          </w:p>
        </w:tc>
        <w:tc>
          <w:tcPr>
            <w:tcW w:w="2182" w:type="dxa"/>
            <w:tcBorders>
              <w:top w:val="single" w:sz="6" w:space="0" w:color="auto"/>
              <w:left w:val="single" w:sz="4" w:space="0" w:color="auto"/>
              <w:bottom w:val="single" w:sz="6" w:space="0" w:color="auto"/>
              <w:right w:val="single" w:sz="4" w:space="0" w:color="auto"/>
            </w:tcBorders>
            <w:vAlign w:val="center"/>
          </w:tcPr>
          <w:p w14:paraId="58DA461A" w14:textId="0965EA11"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10 / 20</w:t>
            </w:r>
          </w:p>
        </w:tc>
        <w:tc>
          <w:tcPr>
            <w:tcW w:w="2188" w:type="dxa"/>
            <w:tcBorders>
              <w:top w:val="single" w:sz="6" w:space="0" w:color="auto"/>
              <w:left w:val="single" w:sz="4" w:space="0" w:color="auto"/>
              <w:bottom w:val="single" w:sz="6" w:space="0" w:color="auto"/>
              <w:right w:val="single" w:sz="4" w:space="0" w:color="auto"/>
            </w:tcBorders>
            <w:vAlign w:val="center"/>
          </w:tcPr>
          <w:p w14:paraId="48C035AD" w14:textId="0FE70EEE"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10 / 20</w:t>
            </w:r>
          </w:p>
        </w:tc>
        <w:tc>
          <w:tcPr>
            <w:tcW w:w="2434" w:type="dxa"/>
            <w:tcBorders>
              <w:top w:val="single" w:sz="6" w:space="0" w:color="auto"/>
              <w:left w:val="single" w:sz="4" w:space="0" w:color="auto"/>
              <w:bottom w:val="single" w:sz="6" w:space="0" w:color="auto"/>
              <w:right w:val="single" w:sz="6" w:space="0" w:color="auto"/>
            </w:tcBorders>
            <w:vAlign w:val="center"/>
          </w:tcPr>
          <w:p w14:paraId="10D80CB6" w14:textId="6BF2D13C" w:rsidR="00AF74EA" w:rsidRPr="00F34B5B" w:rsidRDefault="00AF74EA" w:rsidP="00AF74EA">
            <w:pPr>
              <w:pStyle w:val="StandardowytekstZnak"/>
              <w:keepNext/>
              <w:keepLines/>
              <w:jc w:val="center"/>
              <w:rPr>
                <w:rFonts w:ascii="Bookman Old Style" w:hAnsi="Bookman Old Style"/>
              </w:rPr>
            </w:pPr>
            <w:r w:rsidRPr="00F34B5B">
              <w:rPr>
                <w:rFonts w:ascii="Bookman Old Style" w:hAnsi="Bookman Old Style"/>
              </w:rPr>
              <w:t>15 / 25</w:t>
            </w:r>
          </w:p>
        </w:tc>
      </w:tr>
    </w:tbl>
    <w:p w14:paraId="15DD3CBD" w14:textId="77777777" w:rsidR="00250E2B" w:rsidRPr="00F34B5B" w:rsidRDefault="00250E2B" w:rsidP="00250E2B">
      <w:pPr>
        <w:overflowPunct w:val="0"/>
        <w:autoSpaceDE w:val="0"/>
        <w:autoSpaceDN w:val="0"/>
        <w:adjustRightInd w:val="0"/>
        <w:jc w:val="both"/>
        <w:rPr>
          <w:rFonts w:ascii="Bookman Old Style" w:hAnsi="Bookman Old Style"/>
          <w:sz w:val="20"/>
          <w:szCs w:val="20"/>
        </w:rPr>
      </w:pPr>
    </w:p>
    <w:p w14:paraId="4A1A7A01" w14:textId="68D436E3" w:rsidR="006807A9" w:rsidRPr="00F34B5B" w:rsidRDefault="006807A9" w:rsidP="006807A9">
      <w:pPr>
        <w:overflowPunct w:val="0"/>
        <w:autoSpaceDE w:val="0"/>
        <w:autoSpaceDN w:val="0"/>
        <w:adjustRightInd w:val="0"/>
        <w:jc w:val="both"/>
        <w:rPr>
          <w:rFonts w:ascii="Bookman Old Style" w:hAnsi="Bookman Old Style"/>
          <w:sz w:val="20"/>
          <w:szCs w:val="20"/>
        </w:rPr>
      </w:pPr>
      <w:r w:rsidRPr="00F34B5B">
        <w:rPr>
          <w:rFonts w:ascii="Bookman Old Style" w:hAnsi="Bookman Old Style"/>
          <w:sz w:val="20"/>
          <w:szCs w:val="20"/>
        </w:rPr>
        <w:t>Wyniki badania modułu dynamicznego E</w:t>
      </w:r>
      <w:r w:rsidRPr="00F34B5B">
        <w:rPr>
          <w:rFonts w:ascii="Bookman Old Style" w:hAnsi="Bookman Old Style"/>
          <w:sz w:val="20"/>
          <w:szCs w:val="20"/>
          <w:vertAlign w:val="subscript"/>
        </w:rPr>
        <w:t>vd</w:t>
      </w:r>
      <w:r w:rsidRPr="00F34B5B">
        <w:rPr>
          <w:rFonts w:ascii="Bookman Old Style" w:hAnsi="Bookman Old Style"/>
          <w:sz w:val="20"/>
          <w:szCs w:val="20"/>
        </w:rPr>
        <w:t xml:space="preserve"> otrzymane metodą płyty dynamicznej, zgodnie </w:t>
      </w:r>
      <w:r w:rsidRPr="00F34B5B">
        <w:rPr>
          <w:rFonts w:ascii="Bookman Old Style" w:hAnsi="Bookman Old Style"/>
          <w:sz w:val="20"/>
          <w:szCs w:val="20"/>
        </w:rPr>
        <w:br/>
        <w:t>z tablic</w:t>
      </w:r>
      <w:r w:rsidR="00AF74EA" w:rsidRPr="00F34B5B">
        <w:rPr>
          <w:rFonts w:ascii="Bookman Old Style" w:hAnsi="Bookman Old Style"/>
          <w:sz w:val="20"/>
          <w:szCs w:val="20"/>
        </w:rPr>
        <w:t>ami</w:t>
      </w:r>
      <w:r w:rsidRPr="00F34B5B">
        <w:rPr>
          <w:rFonts w:ascii="Bookman Old Style" w:hAnsi="Bookman Old Style"/>
          <w:sz w:val="20"/>
          <w:szCs w:val="20"/>
        </w:rPr>
        <w:t xml:space="preserve"> 2b</w:t>
      </w:r>
      <w:r w:rsidR="00AF74EA" w:rsidRPr="00F34B5B">
        <w:rPr>
          <w:rFonts w:ascii="Bookman Old Style" w:hAnsi="Bookman Old Style"/>
          <w:sz w:val="20"/>
          <w:szCs w:val="20"/>
        </w:rPr>
        <w:t xml:space="preserve"> oraz 2c</w:t>
      </w:r>
      <w:r w:rsidRPr="00F34B5B">
        <w:rPr>
          <w:rFonts w:ascii="Bookman Old Style" w:hAnsi="Bookman Old Style"/>
          <w:sz w:val="20"/>
          <w:szCs w:val="20"/>
        </w:rPr>
        <w:t xml:space="preserve"> stanowią wartości odbiorowe dla zagęszczenia i nośności poszczególnych stref nasypów.</w:t>
      </w:r>
    </w:p>
    <w:p w14:paraId="252465CC" w14:textId="77777777" w:rsidR="006807A9" w:rsidRPr="00F34B5B" w:rsidRDefault="006807A9" w:rsidP="00A57BFF">
      <w:pPr>
        <w:pStyle w:val="tekstost"/>
        <w:rPr>
          <w:rFonts w:ascii="Bookman Old Style" w:hAnsi="Bookman Old Style"/>
        </w:rPr>
      </w:pPr>
    </w:p>
    <w:p w14:paraId="1A8C4BD0" w14:textId="5BDE5E3B" w:rsidR="00A57BFF" w:rsidRPr="00F34B5B" w:rsidRDefault="00A57BFF" w:rsidP="00A57BFF">
      <w:pPr>
        <w:pStyle w:val="tekstost"/>
        <w:rPr>
          <w:rFonts w:ascii="Bookman Old Style" w:hAnsi="Bookman Old Style"/>
        </w:rPr>
      </w:pPr>
      <w:r w:rsidRPr="00F34B5B">
        <w:rPr>
          <w:rFonts w:ascii="Bookman Old Style" w:hAnsi="Bookman Old Style"/>
        </w:rPr>
        <w:lastRenderedPageBreak/>
        <w:t xml:space="preserve">Jeżeli badania kontrolne wykażą, że zagęszczenie warstwy nie jest wystarczające, to Wykonawca może </w:t>
      </w:r>
      <w:r w:rsidR="006807A9" w:rsidRPr="00F34B5B">
        <w:rPr>
          <w:rFonts w:ascii="Bookman Old Style" w:hAnsi="Bookman Old Style"/>
        </w:rPr>
        <w:t>zastosować</w:t>
      </w:r>
      <w:r w:rsidRPr="00F34B5B">
        <w:rPr>
          <w:rFonts w:ascii="Bookman Old Style" w:hAnsi="Bookman Old Style"/>
        </w:rPr>
        <w:t xml:space="preserve"> inną metodę doprowadzenia warstwy gruntu do wymaganych właściwości.</w:t>
      </w:r>
    </w:p>
    <w:p w14:paraId="58478DEF" w14:textId="77777777" w:rsidR="006807A9" w:rsidRPr="00F34B5B" w:rsidRDefault="006807A9" w:rsidP="00A57BFF">
      <w:pPr>
        <w:pStyle w:val="tekstost"/>
        <w:rPr>
          <w:rFonts w:ascii="Bookman Old Style" w:hAnsi="Bookman Old Style"/>
        </w:rPr>
      </w:pPr>
    </w:p>
    <w:p w14:paraId="13453618" w14:textId="77777777" w:rsidR="00A57BFF" w:rsidRPr="00F34B5B" w:rsidRDefault="00A57BFF" w:rsidP="00A57BFF">
      <w:pPr>
        <w:pStyle w:val="tekstost"/>
        <w:rPr>
          <w:rFonts w:ascii="Bookman Old Style" w:hAnsi="Bookman Old Style"/>
          <w:b/>
        </w:rPr>
      </w:pPr>
      <w:r w:rsidRPr="00F34B5B">
        <w:rPr>
          <w:rFonts w:ascii="Bookman Old Style" w:hAnsi="Bookman Old Style"/>
          <w:b/>
        </w:rPr>
        <w:t>5.3.4.5. Próbne zagęszczenie</w:t>
      </w:r>
    </w:p>
    <w:p w14:paraId="6138EDCA" w14:textId="07A4FD7D"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W celu </w:t>
      </w:r>
      <w:r w:rsidR="006807A9" w:rsidRPr="00F34B5B">
        <w:rPr>
          <w:rFonts w:ascii="Bookman Old Style" w:hAnsi="Bookman Old Style"/>
          <w:sz w:val="20"/>
          <w:szCs w:val="20"/>
        </w:rPr>
        <w:t xml:space="preserve">prezentacji </w:t>
      </w:r>
      <w:r w:rsidRPr="00F34B5B">
        <w:rPr>
          <w:rFonts w:ascii="Bookman Old Style" w:hAnsi="Bookman Old Style"/>
          <w:sz w:val="20"/>
          <w:szCs w:val="20"/>
        </w:rPr>
        <w:t xml:space="preserve">proponowanej technologii budowy nasypów, </w:t>
      </w:r>
      <w:r w:rsidR="00CA6EB9" w:rsidRPr="00F34B5B">
        <w:rPr>
          <w:rFonts w:ascii="Bookman Old Style" w:hAnsi="Bookman Old Style"/>
          <w:sz w:val="20"/>
          <w:szCs w:val="20"/>
        </w:rPr>
        <w:t xml:space="preserve">Wykonawca może </w:t>
      </w:r>
      <w:r w:rsidRPr="00F34B5B">
        <w:rPr>
          <w:rFonts w:ascii="Bookman Old Style" w:hAnsi="Bookman Old Style"/>
          <w:sz w:val="20"/>
          <w:szCs w:val="20"/>
        </w:rPr>
        <w:t>wykonać poletko doświadczalne. Wilgotność gruntu powinna być równa optymalnej z tolerancją podaną w p. 5.3.4.3. Grunt ułożony na poletku według podanej wyżej zasady powinien być następnie zagęszczony.</w:t>
      </w:r>
    </w:p>
    <w:p w14:paraId="60074BA0" w14:textId="310AFF1B"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Oznaczenie zagęszczenia</w:t>
      </w:r>
      <w:r w:rsidR="006807A9" w:rsidRPr="00F34B5B">
        <w:rPr>
          <w:rFonts w:ascii="Bookman Old Style" w:hAnsi="Bookman Old Style"/>
          <w:sz w:val="20"/>
          <w:szCs w:val="20"/>
        </w:rPr>
        <w:t xml:space="preserve"> i nośności płytą d</w:t>
      </w:r>
      <w:r w:rsidR="00BC5B32" w:rsidRPr="00F34B5B">
        <w:rPr>
          <w:rFonts w:ascii="Bookman Old Style" w:hAnsi="Bookman Old Style"/>
          <w:sz w:val="20"/>
          <w:szCs w:val="20"/>
        </w:rPr>
        <w:t>y</w:t>
      </w:r>
      <w:r w:rsidR="006807A9" w:rsidRPr="00F34B5B">
        <w:rPr>
          <w:rFonts w:ascii="Bookman Old Style" w:hAnsi="Bookman Old Style"/>
          <w:sz w:val="20"/>
          <w:szCs w:val="20"/>
        </w:rPr>
        <w:t>namiczną</w:t>
      </w:r>
      <w:r w:rsidRPr="00F34B5B">
        <w:rPr>
          <w:rFonts w:ascii="Bookman Old Style" w:hAnsi="Bookman Old Style"/>
          <w:sz w:val="20"/>
          <w:szCs w:val="20"/>
        </w:rPr>
        <w:t xml:space="preserve"> należy wykonać co najmniej w 4 punktach. Na podstawie porównania uzyskanych wyników zagęszczenia z wymaganiami podanymi w p. 5.3.4.4 dokonuje się wyboru sprzętu i ustala się potrzebną liczbę przejść oraz grubość warstwy rozkładanego gruntu.</w:t>
      </w:r>
    </w:p>
    <w:p w14:paraId="12ED32E3" w14:textId="77777777" w:rsidR="00A57BFF" w:rsidRPr="00F34B5B" w:rsidRDefault="00A57BFF" w:rsidP="00A57BFF">
      <w:pPr>
        <w:jc w:val="both"/>
        <w:rPr>
          <w:rFonts w:ascii="Bookman Old Style" w:hAnsi="Bookman Old Style"/>
          <w:b/>
          <w:sz w:val="20"/>
          <w:szCs w:val="20"/>
          <w:u w:val="single"/>
        </w:rPr>
      </w:pPr>
      <w:bookmarkStart w:id="12" w:name="_Toc406295865"/>
      <w:bookmarkStart w:id="13" w:name="_Toc407161285"/>
      <w:r w:rsidRPr="00F34B5B">
        <w:rPr>
          <w:rFonts w:ascii="Bookman Old Style" w:hAnsi="Bookman Old Style"/>
          <w:b/>
          <w:sz w:val="20"/>
          <w:szCs w:val="20"/>
          <w:u w:val="single"/>
        </w:rPr>
        <w:t>5.4. Odkłady</w:t>
      </w:r>
      <w:bookmarkEnd w:id="12"/>
      <w:bookmarkEnd w:id="13"/>
    </w:p>
    <w:p w14:paraId="30C5E850" w14:textId="77777777" w:rsidR="00A57BFF" w:rsidRPr="00F34B5B" w:rsidRDefault="00A57BFF" w:rsidP="00A57BFF">
      <w:pPr>
        <w:jc w:val="both"/>
        <w:rPr>
          <w:rFonts w:ascii="Bookman Old Style" w:hAnsi="Bookman Old Style"/>
          <w:b/>
          <w:sz w:val="20"/>
          <w:szCs w:val="20"/>
        </w:rPr>
      </w:pPr>
      <w:r w:rsidRPr="00F34B5B">
        <w:rPr>
          <w:rFonts w:ascii="Bookman Old Style" w:hAnsi="Bookman Old Style"/>
          <w:b/>
          <w:sz w:val="20"/>
          <w:szCs w:val="20"/>
        </w:rPr>
        <w:t>5.4.1. Warunki ogólne wykonania odkładów</w:t>
      </w:r>
    </w:p>
    <w:p w14:paraId="336E013B"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Grunty lub inne materiały powinny być przewiezione na odkład, jeżeli:</w:t>
      </w:r>
    </w:p>
    <w:p w14:paraId="1E3208CE"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a) stanowią nadmiar objętości w stosunku do objętości gruntów przewidzianych do wbudowania,</w:t>
      </w:r>
    </w:p>
    <w:p w14:paraId="00888E8C"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b) są nieprzydatne do budowy nasypów oraz wykorzystania w innych pracach, związanych </w:t>
      </w:r>
      <w:r w:rsidRPr="00F34B5B">
        <w:rPr>
          <w:rFonts w:ascii="Bookman Old Style" w:hAnsi="Bookman Old Style"/>
          <w:sz w:val="20"/>
          <w:szCs w:val="20"/>
        </w:rPr>
        <w:br/>
        <w:t>z budową trasy drogowej,</w:t>
      </w:r>
    </w:p>
    <w:p w14:paraId="11D13DD2"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c) ze względu na harmonogram robót nie jest ekonomicznie uzasadnione oczekiwanie na wbudowanie materiałów pozyskiwanych z wykopu.</w:t>
      </w:r>
    </w:p>
    <w:p w14:paraId="233D542B"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Materiały deponowane na składowiskach odkładów muszą być odpowiednio segregowane – tak aby gruntu nieprzydatne nie zostały zmieszane z gruntami przydatnymi do budowy nasypów. Humus należy składować również na osobnym odkładzie.</w:t>
      </w:r>
    </w:p>
    <w:p w14:paraId="02D2C16A" w14:textId="77777777" w:rsidR="00A57BFF" w:rsidRPr="00F34B5B" w:rsidRDefault="00A57BFF" w:rsidP="00A57BFF">
      <w:pPr>
        <w:jc w:val="both"/>
        <w:rPr>
          <w:rFonts w:ascii="Bookman Old Style" w:hAnsi="Bookman Old Style"/>
          <w:b/>
          <w:sz w:val="20"/>
          <w:szCs w:val="20"/>
        </w:rPr>
      </w:pPr>
      <w:r w:rsidRPr="00F34B5B">
        <w:rPr>
          <w:rFonts w:ascii="Bookman Old Style" w:hAnsi="Bookman Old Style"/>
          <w:b/>
          <w:sz w:val="20"/>
          <w:szCs w:val="20"/>
        </w:rPr>
        <w:t>5.4.2. Lokalizacja odkładu</w:t>
      </w:r>
    </w:p>
    <w:p w14:paraId="6A52BBC9" w14:textId="0DE978EB"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Jeżeli miejsce odkładu zostało wybrane przez Wykonawcę, Wykonawca musi uzyskać zgodę właściciela terenu.</w:t>
      </w:r>
    </w:p>
    <w:p w14:paraId="02FB0008"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Jeżeli odkłady są zlokalizowane wzdłuż odcinka trasy przebiegającego w wykopie, to:</w:t>
      </w:r>
    </w:p>
    <w:p w14:paraId="723CD1D9"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a) odkłady można wykonać z obu stron wykopu, jeżeli pochylenie poprzeczne terenu jest niewielkie, przy czym odległość podnóża skarpy odkładu od górnej krawędzi wykopu powinna wynosić:</w:t>
      </w:r>
    </w:p>
    <w:p w14:paraId="224B72B7" w14:textId="77777777" w:rsidR="00A57BFF" w:rsidRPr="00F34B5B" w:rsidRDefault="00A57BFF" w:rsidP="00A57BFF">
      <w:pPr>
        <w:pStyle w:val="Akapitzlist"/>
        <w:numPr>
          <w:ilvl w:val="0"/>
          <w:numId w:val="4"/>
        </w:numPr>
        <w:ind w:left="284" w:hanging="284"/>
        <w:jc w:val="both"/>
        <w:rPr>
          <w:rFonts w:ascii="Bookman Old Style" w:hAnsi="Bookman Old Style"/>
          <w:sz w:val="20"/>
          <w:szCs w:val="20"/>
        </w:rPr>
      </w:pPr>
      <w:r w:rsidRPr="00F34B5B">
        <w:rPr>
          <w:rFonts w:ascii="Bookman Old Style" w:hAnsi="Bookman Old Style"/>
          <w:sz w:val="20"/>
          <w:szCs w:val="20"/>
        </w:rPr>
        <w:t>nie mniej niż 3 m w gruntach przepuszczalnych,</w:t>
      </w:r>
    </w:p>
    <w:p w14:paraId="437C8ADB" w14:textId="77777777" w:rsidR="00A57BFF" w:rsidRPr="00F34B5B" w:rsidRDefault="00A57BFF" w:rsidP="00A57BFF">
      <w:pPr>
        <w:pStyle w:val="Akapitzlist"/>
        <w:numPr>
          <w:ilvl w:val="0"/>
          <w:numId w:val="4"/>
        </w:numPr>
        <w:ind w:left="284" w:hanging="284"/>
        <w:jc w:val="both"/>
        <w:rPr>
          <w:rFonts w:ascii="Bookman Old Style" w:hAnsi="Bookman Old Style"/>
          <w:sz w:val="20"/>
          <w:szCs w:val="20"/>
        </w:rPr>
      </w:pPr>
      <w:r w:rsidRPr="00F34B5B">
        <w:rPr>
          <w:rFonts w:ascii="Bookman Old Style" w:hAnsi="Bookman Old Style"/>
          <w:sz w:val="20"/>
          <w:szCs w:val="20"/>
        </w:rPr>
        <w:t>nie mniej niż 5 m w gruntach nieprzepuszczalnych,</w:t>
      </w:r>
    </w:p>
    <w:p w14:paraId="1BE7CC20"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b) przy znacznym pochyleniu poprzecznym terenu, jednak mniejszym od 20%, odkład należy wykonać tylko od górnej strony wykopu, dla ochrony od wody stokowej,</w:t>
      </w:r>
    </w:p>
    <w:p w14:paraId="552C9B25" w14:textId="50D07522" w:rsidR="00A57BFF" w:rsidRPr="00F34B5B" w:rsidRDefault="00A57BFF" w:rsidP="00BC5B32">
      <w:pPr>
        <w:tabs>
          <w:tab w:val="left" w:pos="0"/>
        </w:tabs>
        <w:jc w:val="both"/>
        <w:rPr>
          <w:rFonts w:ascii="Bookman Old Style" w:hAnsi="Bookman Old Style"/>
          <w:sz w:val="20"/>
          <w:szCs w:val="20"/>
        </w:rPr>
      </w:pPr>
      <w:r w:rsidRPr="00F34B5B">
        <w:rPr>
          <w:rFonts w:ascii="Bookman Old Style" w:hAnsi="Bookman Old Style"/>
          <w:sz w:val="20"/>
          <w:szCs w:val="20"/>
        </w:rPr>
        <w:t>c) przy pochyleniu poprzecznym terenu wynoszącym ponad 20%, odkład należy zlokalizować poniżej wykopu.</w:t>
      </w:r>
    </w:p>
    <w:p w14:paraId="2B48BBB3"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b/>
          <w:sz w:val="20"/>
          <w:szCs w:val="20"/>
        </w:rPr>
        <w:t>5.4.3. Zasady wykonania odkładów</w:t>
      </w:r>
    </w:p>
    <w:p w14:paraId="0DF63496" w14:textId="6567C32B"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Odkłady muszą być tak ukształtowane, aby harmonizowały z otaczającym terenem. </w:t>
      </w:r>
    </w:p>
    <w:p w14:paraId="394C0515" w14:textId="58B7434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Odspajanie materiału przewidzianego do przewiezienia na odkład powinno być przerwane, </w:t>
      </w:r>
      <w:r w:rsidRPr="00F34B5B">
        <w:rPr>
          <w:rFonts w:ascii="Bookman Old Style" w:hAnsi="Bookman Old Style"/>
          <w:sz w:val="20"/>
          <w:szCs w:val="20"/>
        </w:rPr>
        <w:br/>
        <w:t xml:space="preserve">o ile warunki atmosferyczne lub inne przyczyny uniemożliwiają jego wbudowanie zgodnie </w:t>
      </w:r>
      <w:r w:rsidRPr="00F34B5B">
        <w:rPr>
          <w:rFonts w:ascii="Bookman Old Style" w:hAnsi="Bookman Old Style"/>
          <w:sz w:val="20"/>
          <w:szCs w:val="20"/>
        </w:rPr>
        <w:br/>
        <w:t>z wymaganiami STWiORB.</w:t>
      </w:r>
    </w:p>
    <w:p w14:paraId="346BBF03"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 xml:space="preserve">Jeżeli wskutek pochopnego przewiezienia gruntu na odkład przez Wykonawcę, zajdzie konieczność dowiezienia gruntu do wykonania nasypów z ukopu, to koszt tych czynności </w:t>
      </w:r>
      <w:r w:rsidRPr="00F34B5B">
        <w:rPr>
          <w:rFonts w:ascii="Bookman Old Style" w:hAnsi="Bookman Old Style"/>
          <w:sz w:val="20"/>
          <w:szCs w:val="20"/>
        </w:rPr>
        <w:br/>
        <w:t>w całości obciąża Wykonawcę.</w:t>
      </w:r>
    </w:p>
    <w:p w14:paraId="248B9B67" w14:textId="77777777" w:rsidR="00A57BFF" w:rsidRPr="00F34B5B" w:rsidRDefault="00A57BFF" w:rsidP="00A57BFF">
      <w:pPr>
        <w:spacing w:before="240"/>
        <w:jc w:val="both"/>
        <w:rPr>
          <w:rFonts w:ascii="Bookman Old Style" w:hAnsi="Bookman Old Style"/>
          <w:b/>
          <w:sz w:val="20"/>
          <w:szCs w:val="20"/>
        </w:rPr>
      </w:pPr>
      <w:r w:rsidRPr="00F34B5B">
        <w:rPr>
          <w:rFonts w:ascii="Bookman Old Style" w:hAnsi="Bookman Old Style"/>
          <w:b/>
          <w:sz w:val="20"/>
          <w:szCs w:val="20"/>
        </w:rPr>
        <w:t>6. KONTROLA JAKOŚCI ROBÓT</w:t>
      </w:r>
    </w:p>
    <w:p w14:paraId="1AD57292" w14:textId="77777777" w:rsidR="00A57BFF" w:rsidRPr="00F34B5B" w:rsidRDefault="00A57BFF" w:rsidP="00A57BFF">
      <w:pPr>
        <w:pStyle w:val="StandardowytekstZnak"/>
        <w:rPr>
          <w:rFonts w:ascii="Bookman Old Style" w:hAnsi="Bookman Old Style"/>
          <w:b/>
          <w:u w:val="single"/>
        </w:rPr>
      </w:pPr>
      <w:bookmarkStart w:id="14" w:name="_Toc406295867"/>
      <w:bookmarkStart w:id="15" w:name="_Toc407161287"/>
      <w:r w:rsidRPr="00F34B5B">
        <w:rPr>
          <w:rFonts w:ascii="Bookman Old Style" w:hAnsi="Bookman Old Style"/>
          <w:b/>
          <w:u w:val="single"/>
        </w:rPr>
        <w:t>6.1. Ogólne zasady kontroli jakości robót</w:t>
      </w:r>
    </w:p>
    <w:p w14:paraId="09990EB4" w14:textId="099CE1E6" w:rsidR="00A57BFF" w:rsidRPr="00F34B5B" w:rsidRDefault="00A57BFF" w:rsidP="00A57BFF">
      <w:pPr>
        <w:pStyle w:val="StandardowytekstZnak"/>
        <w:rPr>
          <w:rFonts w:ascii="Bookman Old Style" w:hAnsi="Bookman Old Style"/>
          <w:strike/>
        </w:rPr>
      </w:pPr>
      <w:r w:rsidRPr="00F34B5B">
        <w:rPr>
          <w:rFonts w:ascii="Bookman Old Style" w:hAnsi="Bookman Old Style"/>
        </w:rPr>
        <w:t xml:space="preserve">Ogólne zasady kontroli jakości robót podano w STWiORB </w:t>
      </w:r>
      <w:r w:rsidR="00D63CE9" w:rsidRPr="00F34B5B">
        <w:rPr>
          <w:rFonts w:ascii="Bookman Old Style" w:hAnsi="Bookman Old Style"/>
        </w:rPr>
        <w:t xml:space="preserve">D-00.00.00. </w:t>
      </w:r>
      <w:r w:rsidRPr="00F34B5B">
        <w:rPr>
          <w:rFonts w:ascii="Bookman Old Style" w:hAnsi="Bookman Old Style"/>
        </w:rPr>
        <w:t>pkt. 6.</w:t>
      </w:r>
    </w:p>
    <w:p w14:paraId="4FD5C3B1" w14:textId="77777777" w:rsidR="00A57BFF" w:rsidRPr="00F34B5B" w:rsidRDefault="00A57BFF" w:rsidP="00A57BFF">
      <w:pPr>
        <w:pStyle w:val="StandardowytekstZnak"/>
        <w:widowControl w:val="0"/>
        <w:rPr>
          <w:rFonts w:ascii="Bookman Old Style" w:hAnsi="Bookman Old Style"/>
          <w:b/>
          <w:u w:val="single"/>
        </w:rPr>
      </w:pPr>
      <w:bookmarkStart w:id="16" w:name="_Toc406295868"/>
      <w:bookmarkStart w:id="17" w:name="_Toc407161288"/>
      <w:r w:rsidRPr="00F34B5B">
        <w:rPr>
          <w:rFonts w:ascii="Bookman Old Style" w:hAnsi="Bookman Old Style"/>
          <w:b/>
          <w:u w:val="single"/>
        </w:rPr>
        <w:t>6.2. Sprawdzenie wykonania dokopu</w:t>
      </w:r>
      <w:bookmarkEnd w:id="16"/>
      <w:bookmarkEnd w:id="17"/>
    </w:p>
    <w:p w14:paraId="56C12EE6" w14:textId="6292E5A2" w:rsidR="00A57BFF" w:rsidRPr="00F34B5B" w:rsidRDefault="00A57BFF" w:rsidP="00F72AB8">
      <w:pPr>
        <w:pStyle w:val="StandardowytekstZnak"/>
        <w:widowControl w:val="0"/>
        <w:jc w:val="left"/>
        <w:rPr>
          <w:rFonts w:ascii="Bookman Old Style" w:hAnsi="Bookman Old Style"/>
          <w:b/>
          <w:u w:val="single"/>
        </w:rPr>
      </w:pPr>
      <w:r w:rsidRPr="00F34B5B">
        <w:rPr>
          <w:rFonts w:ascii="Bookman Old Style" w:hAnsi="Bookman Old Style"/>
        </w:rPr>
        <w:t xml:space="preserve">Sprawdzenie wykonania dokopu polega na kontrolowaniu zgodności z wymaganiami określonymi w punkcie 5.2 niniejszej specyfikacji. </w:t>
      </w:r>
      <w:r w:rsidRPr="00F34B5B">
        <w:rPr>
          <w:rFonts w:ascii="Bookman Old Style" w:hAnsi="Bookman Old Style"/>
        </w:rPr>
        <w:br/>
        <w:t>W czasie kontroli należy zwrócić szczególną uwagę na sprawdzenie:</w:t>
      </w:r>
    </w:p>
    <w:p w14:paraId="4C30FFFA" w14:textId="388050B8" w:rsidR="00A57BFF" w:rsidRPr="00F34B5B" w:rsidRDefault="00A57BFF" w:rsidP="00A57BFF">
      <w:pPr>
        <w:pStyle w:val="StandardowytekstZnak"/>
        <w:numPr>
          <w:ilvl w:val="0"/>
          <w:numId w:val="5"/>
        </w:numPr>
        <w:ind w:left="284" w:hanging="284"/>
        <w:rPr>
          <w:rFonts w:ascii="Bookman Old Style" w:hAnsi="Bookman Old Style"/>
        </w:rPr>
      </w:pPr>
      <w:r w:rsidRPr="00F34B5B">
        <w:rPr>
          <w:rFonts w:ascii="Bookman Old Style" w:hAnsi="Bookman Old Style"/>
        </w:rPr>
        <w:t>zgodności rodzaju gruntu z określonym w STWiORB,</w:t>
      </w:r>
    </w:p>
    <w:p w14:paraId="0ED8EC2B" w14:textId="77777777" w:rsidR="00A57BFF" w:rsidRPr="00F34B5B" w:rsidRDefault="00A57BFF" w:rsidP="00A57BFF">
      <w:pPr>
        <w:pStyle w:val="StandardowytekstZnak"/>
        <w:numPr>
          <w:ilvl w:val="0"/>
          <w:numId w:val="5"/>
        </w:numPr>
        <w:ind w:left="284" w:hanging="284"/>
        <w:rPr>
          <w:rFonts w:ascii="Bookman Old Style" w:hAnsi="Bookman Old Style"/>
        </w:rPr>
      </w:pPr>
      <w:r w:rsidRPr="00F34B5B">
        <w:rPr>
          <w:rFonts w:ascii="Bookman Old Style" w:hAnsi="Bookman Old Style"/>
        </w:rPr>
        <w:t>zachowania kształtu zboczy, zapewniającego ich stateczność,</w:t>
      </w:r>
    </w:p>
    <w:p w14:paraId="32E8F900" w14:textId="77777777" w:rsidR="00A57BFF" w:rsidRPr="00F34B5B" w:rsidRDefault="00A57BFF" w:rsidP="00A57BFF">
      <w:pPr>
        <w:pStyle w:val="StandardowytekstZnak"/>
        <w:numPr>
          <w:ilvl w:val="0"/>
          <w:numId w:val="5"/>
        </w:numPr>
        <w:ind w:left="284" w:hanging="284"/>
        <w:rPr>
          <w:rFonts w:ascii="Bookman Old Style" w:hAnsi="Bookman Old Style"/>
        </w:rPr>
      </w:pPr>
      <w:r w:rsidRPr="00F34B5B">
        <w:rPr>
          <w:rFonts w:ascii="Bookman Old Style" w:hAnsi="Bookman Old Style"/>
        </w:rPr>
        <w:t>odwodnienia.</w:t>
      </w:r>
    </w:p>
    <w:p w14:paraId="2EA54480" w14:textId="77777777" w:rsidR="00A57BFF" w:rsidRPr="00F34B5B" w:rsidRDefault="00A57BFF" w:rsidP="00A57BFF">
      <w:pPr>
        <w:pStyle w:val="StandardowytekstZnak"/>
        <w:rPr>
          <w:rFonts w:ascii="Bookman Old Style" w:hAnsi="Bookman Old Style"/>
          <w:b/>
          <w:u w:val="single"/>
        </w:rPr>
      </w:pPr>
      <w:r w:rsidRPr="00F34B5B">
        <w:rPr>
          <w:rFonts w:ascii="Bookman Old Style" w:hAnsi="Bookman Old Style"/>
          <w:b/>
          <w:u w:val="single"/>
        </w:rPr>
        <w:t>6.3. Sprawdzenie jakości wykonania nasypów</w:t>
      </w:r>
    </w:p>
    <w:p w14:paraId="1541B1A1" w14:textId="77777777" w:rsidR="00A57BFF" w:rsidRPr="00F34B5B" w:rsidRDefault="00A57BFF" w:rsidP="00A57BFF">
      <w:pPr>
        <w:pStyle w:val="StandardowytekstZnak"/>
        <w:rPr>
          <w:rFonts w:ascii="Bookman Old Style" w:hAnsi="Bookman Old Style"/>
        </w:rPr>
      </w:pPr>
      <w:r w:rsidRPr="00F34B5B">
        <w:rPr>
          <w:rFonts w:ascii="Bookman Old Style" w:hAnsi="Bookman Old Style"/>
          <w:b/>
        </w:rPr>
        <w:t>6.3.1.Rodzaje badań i pomiarów</w:t>
      </w:r>
    </w:p>
    <w:p w14:paraId="144819C6" w14:textId="2DA566A8" w:rsidR="00A57BFF" w:rsidRPr="00F34B5B" w:rsidRDefault="00A57BFF" w:rsidP="00A57BFF">
      <w:pPr>
        <w:pStyle w:val="StandardowytekstZnak"/>
        <w:rPr>
          <w:rFonts w:ascii="Bookman Old Style" w:hAnsi="Bookman Old Style"/>
        </w:rPr>
      </w:pPr>
      <w:r w:rsidRPr="00F34B5B">
        <w:rPr>
          <w:rFonts w:ascii="Bookman Old Style" w:hAnsi="Bookman Old Style"/>
        </w:rPr>
        <w:t xml:space="preserve">Sprawdzenie jakości wykonania nasypów polega na kontrolowaniu zgodności </w:t>
      </w:r>
      <w:r w:rsidRPr="00F34B5B">
        <w:rPr>
          <w:rFonts w:ascii="Bookman Old Style" w:hAnsi="Bookman Old Style"/>
        </w:rPr>
        <w:br/>
        <w:t>z wymaganiami określonymi w punktach 5.2 oraz 5.3 niniejszej STWiORB.</w:t>
      </w:r>
    </w:p>
    <w:p w14:paraId="2D1181D2" w14:textId="77777777" w:rsidR="00A57BFF" w:rsidRPr="00F34B5B" w:rsidRDefault="00A57BFF" w:rsidP="00A57BFF">
      <w:pPr>
        <w:pStyle w:val="StandardowytekstZnak"/>
        <w:rPr>
          <w:rFonts w:ascii="Bookman Old Style" w:hAnsi="Bookman Old Style"/>
        </w:rPr>
      </w:pPr>
      <w:r w:rsidRPr="00F34B5B">
        <w:rPr>
          <w:rFonts w:ascii="Bookman Old Style" w:hAnsi="Bookman Old Style"/>
        </w:rPr>
        <w:t>Szczególną uwagę należy zwrócić na:</w:t>
      </w:r>
    </w:p>
    <w:p w14:paraId="13AE144F" w14:textId="77777777" w:rsidR="00A57BFF" w:rsidRPr="00F34B5B" w:rsidRDefault="00A57BFF" w:rsidP="00A57BFF">
      <w:pPr>
        <w:pStyle w:val="StandardowytekstZnak"/>
        <w:numPr>
          <w:ilvl w:val="0"/>
          <w:numId w:val="6"/>
        </w:numPr>
        <w:ind w:left="284" w:hanging="284"/>
        <w:rPr>
          <w:rFonts w:ascii="Bookman Old Style" w:hAnsi="Bookman Old Style"/>
        </w:rPr>
      </w:pPr>
      <w:r w:rsidRPr="00F34B5B">
        <w:rPr>
          <w:rFonts w:ascii="Bookman Old Style" w:hAnsi="Bookman Old Style"/>
        </w:rPr>
        <w:t>badania przydatności gruntów do budowy nasypów,</w:t>
      </w:r>
    </w:p>
    <w:p w14:paraId="184DC4F6" w14:textId="77777777" w:rsidR="00A57BFF" w:rsidRPr="00F34B5B" w:rsidRDefault="00A57BFF" w:rsidP="00A57BFF">
      <w:pPr>
        <w:pStyle w:val="StandardowytekstZnak"/>
        <w:numPr>
          <w:ilvl w:val="0"/>
          <w:numId w:val="6"/>
        </w:numPr>
        <w:ind w:left="284" w:hanging="284"/>
        <w:rPr>
          <w:rFonts w:ascii="Bookman Old Style" w:hAnsi="Bookman Old Style"/>
        </w:rPr>
      </w:pPr>
      <w:r w:rsidRPr="00F34B5B">
        <w:rPr>
          <w:rFonts w:ascii="Bookman Old Style" w:hAnsi="Bookman Old Style"/>
        </w:rPr>
        <w:t>badania prawidłowości wykonania poszczególnych warstw nasypu,</w:t>
      </w:r>
    </w:p>
    <w:p w14:paraId="7A89D5EC" w14:textId="77777777" w:rsidR="00A57BFF" w:rsidRPr="00F34B5B" w:rsidRDefault="00A57BFF" w:rsidP="00A57BFF">
      <w:pPr>
        <w:pStyle w:val="StandardowytekstZnak"/>
        <w:numPr>
          <w:ilvl w:val="0"/>
          <w:numId w:val="6"/>
        </w:numPr>
        <w:ind w:left="284" w:hanging="284"/>
        <w:rPr>
          <w:rFonts w:ascii="Bookman Old Style" w:hAnsi="Bookman Old Style"/>
        </w:rPr>
      </w:pPr>
      <w:r w:rsidRPr="00F34B5B">
        <w:rPr>
          <w:rFonts w:ascii="Bookman Old Style" w:hAnsi="Bookman Old Style"/>
        </w:rPr>
        <w:lastRenderedPageBreak/>
        <w:t>badania zagęszczenia nasypu,</w:t>
      </w:r>
    </w:p>
    <w:p w14:paraId="14E0C6A8" w14:textId="77777777" w:rsidR="00A57BFF" w:rsidRPr="00F34B5B" w:rsidRDefault="00A57BFF" w:rsidP="00A57BFF">
      <w:pPr>
        <w:pStyle w:val="StandardowytekstZnak"/>
        <w:numPr>
          <w:ilvl w:val="0"/>
          <w:numId w:val="6"/>
        </w:numPr>
        <w:ind w:left="284" w:hanging="284"/>
        <w:rPr>
          <w:rFonts w:ascii="Bookman Old Style" w:hAnsi="Bookman Old Style"/>
        </w:rPr>
      </w:pPr>
      <w:r w:rsidRPr="00F34B5B">
        <w:rPr>
          <w:rFonts w:ascii="Bookman Old Style" w:hAnsi="Bookman Old Style"/>
        </w:rPr>
        <w:t>pomiary kształtu nasypu,</w:t>
      </w:r>
    </w:p>
    <w:p w14:paraId="0E31E1B1" w14:textId="77777777" w:rsidR="00A57BFF" w:rsidRPr="00F34B5B" w:rsidRDefault="00A57BFF" w:rsidP="00A57BFF">
      <w:pPr>
        <w:pStyle w:val="StandardowytekstZnak"/>
        <w:numPr>
          <w:ilvl w:val="0"/>
          <w:numId w:val="6"/>
        </w:numPr>
        <w:ind w:left="284" w:hanging="284"/>
        <w:rPr>
          <w:rFonts w:ascii="Bookman Old Style" w:hAnsi="Bookman Old Style"/>
        </w:rPr>
      </w:pPr>
      <w:r w:rsidRPr="00F34B5B">
        <w:rPr>
          <w:rFonts w:ascii="Bookman Old Style" w:hAnsi="Bookman Old Style"/>
        </w:rPr>
        <w:t>odwodnienie nasypu.</w:t>
      </w:r>
    </w:p>
    <w:p w14:paraId="2AAC01CB" w14:textId="77777777" w:rsidR="00A57BFF" w:rsidRPr="00F34B5B" w:rsidRDefault="00A57BFF" w:rsidP="00A57BFF">
      <w:pPr>
        <w:pStyle w:val="StandardowytekstZnak"/>
        <w:rPr>
          <w:rFonts w:ascii="Bookman Old Style" w:hAnsi="Bookman Old Style"/>
        </w:rPr>
      </w:pPr>
      <w:r w:rsidRPr="00F34B5B">
        <w:rPr>
          <w:rFonts w:ascii="Bookman Old Style" w:hAnsi="Bookman Old Style"/>
          <w:b/>
        </w:rPr>
        <w:t>6.3.2.Badania przydatności gruntów do budowy nasypów</w:t>
      </w:r>
    </w:p>
    <w:p w14:paraId="7CC3FA7A" w14:textId="3D5FFD45" w:rsidR="00A57BFF" w:rsidRPr="00F34B5B" w:rsidRDefault="00A57BFF" w:rsidP="007711A0">
      <w:pPr>
        <w:pStyle w:val="StandardowytekstZnak"/>
        <w:rPr>
          <w:rFonts w:ascii="Bookman Old Style" w:hAnsi="Bookman Old Style"/>
        </w:rPr>
      </w:pPr>
      <w:r w:rsidRPr="00F34B5B">
        <w:rPr>
          <w:rFonts w:ascii="Bookman Old Style" w:hAnsi="Bookman Old Style"/>
        </w:rPr>
        <w:t xml:space="preserve">Badania przydatności gruntów do budowy nasypu powinny być przeprowadzone na próbkach pobranych z każdej partii przeznaczonej do wbudowania w korpus ziemny, pochodzącej </w:t>
      </w:r>
      <w:r w:rsidR="00C7264A" w:rsidRPr="00F34B5B">
        <w:rPr>
          <w:rFonts w:ascii="Bookman Old Style" w:hAnsi="Bookman Old Style"/>
        </w:rPr>
        <w:br/>
      </w:r>
      <w:r w:rsidRPr="00F34B5B">
        <w:rPr>
          <w:rFonts w:ascii="Bookman Old Style" w:hAnsi="Bookman Old Style"/>
        </w:rPr>
        <w:t>z nowego źródła, jednak nie rzadziej niż trzy razy na każde rozpoczęte 5000 m</w:t>
      </w:r>
      <w:r w:rsidRPr="00F34B5B">
        <w:rPr>
          <w:rFonts w:ascii="Bookman Old Style" w:hAnsi="Bookman Old Style"/>
          <w:vertAlign w:val="superscript"/>
        </w:rPr>
        <w:t>3</w:t>
      </w:r>
      <w:r w:rsidRPr="00F34B5B">
        <w:rPr>
          <w:rFonts w:ascii="Bookman Old Style" w:hAnsi="Bookman Old Style"/>
        </w:rPr>
        <w:t xml:space="preserve">. </w:t>
      </w:r>
    </w:p>
    <w:p w14:paraId="45D169AF" w14:textId="77777777" w:rsidR="00BC5B32" w:rsidRPr="00F34B5B" w:rsidRDefault="00BC5B32" w:rsidP="007711A0">
      <w:pPr>
        <w:pStyle w:val="StandardowytekstZnak"/>
        <w:rPr>
          <w:rFonts w:ascii="Bookman Old Style" w:hAnsi="Bookman Old Style"/>
        </w:rPr>
      </w:pPr>
    </w:p>
    <w:p w14:paraId="056D2863" w14:textId="77777777" w:rsidR="00A57BFF" w:rsidRPr="00F34B5B" w:rsidRDefault="00A57BFF" w:rsidP="00A57BFF">
      <w:pPr>
        <w:pStyle w:val="StandardowytekstZnak"/>
        <w:rPr>
          <w:rFonts w:ascii="Bookman Old Style" w:hAnsi="Bookman Old Style"/>
        </w:rPr>
      </w:pPr>
      <w:r w:rsidRPr="00F34B5B">
        <w:rPr>
          <w:rFonts w:ascii="Bookman Old Style" w:hAnsi="Bookman Old Style"/>
          <w:b/>
        </w:rPr>
        <w:t>6.3.3. Badania kontrolne prawidłowości wykonania poszczególnych warstw nasypu</w:t>
      </w:r>
    </w:p>
    <w:p w14:paraId="47B3206D" w14:textId="77777777" w:rsidR="00A57BFF" w:rsidRPr="00F34B5B" w:rsidRDefault="00A57BFF" w:rsidP="00A57BFF">
      <w:pPr>
        <w:pStyle w:val="StandardowytekstZnak"/>
        <w:rPr>
          <w:rFonts w:ascii="Bookman Old Style" w:hAnsi="Bookman Old Style"/>
        </w:rPr>
      </w:pPr>
      <w:r w:rsidRPr="00F34B5B">
        <w:rPr>
          <w:rFonts w:ascii="Bookman Old Style" w:hAnsi="Bookman Old Style"/>
        </w:rPr>
        <w:t>Badania kontrolne prawidłowości wykonania poszczególnych warstw nasypu polegają na sprawdzeniu:</w:t>
      </w:r>
    </w:p>
    <w:p w14:paraId="3DEFD3DC"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prawidłowości rozmieszczenia gruntów o różnych właściwościach w nasypie,</w:t>
      </w:r>
    </w:p>
    <w:p w14:paraId="349F65BB"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odwodnienia każdej warstwy,</w:t>
      </w:r>
    </w:p>
    <w:p w14:paraId="620E835C" w14:textId="3AAB08CF"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 xml:space="preserve">grubości każdej warstwy i jej wilgotności przy zagęszczaniu; badania należy przeprowadzić nie rzadziej niż jeden raz na </w:t>
      </w:r>
      <w:r w:rsidR="00C7264A" w:rsidRPr="00F34B5B">
        <w:rPr>
          <w:rFonts w:ascii="Bookman Old Style" w:hAnsi="Bookman Old Style"/>
        </w:rPr>
        <w:t>2</w:t>
      </w:r>
      <w:r w:rsidR="00084DB2" w:rsidRPr="00F34B5B">
        <w:rPr>
          <w:rFonts w:ascii="Bookman Old Style" w:hAnsi="Bookman Old Style"/>
        </w:rPr>
        <w:t xml:space="preserve"> </w:t>
      </w:r>
      <w:r w:rsidRPr="00F34B5B">
        <w:rPr>
          <w:rFonts w:ascii="Bookman Old Style" w:hAnsi="Bookman Old Style"/>
        </w:rPr>
        <w:t>500 m</w:t>
      </w:r>
      <w:r w:rsidRPr="00F34B5B">
        <w:rPr>
          <w:rFonts w:ascii="Bookman Old Style" w:hAnsi="Bookman Old Style"/>
          <w:vertAlign w:val="superscript"/>
        </w:rPr>
        <w:t>2</w:t>
      </w:r>
      <w:r w:rsidRPr="00F34B5B">
        <w:rPr>
          <w:rFonts w:ascii="Bookman Old Style" w:hAnsi="Bookman Old Style"/>
        </w:rPr>
        <w:t xml:space="preserve"> warstwy,</w:t>
      </w:r>
    </w:p>
    <w:p w14:paraId="61D244C0"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 xml:space="preserve">nadania spadków warstwom z gruntów spoistych według pkt 5.3.3.1 poz. d), </w:t>
      </w:r>
      <w:r w:rsidRPr="00F34B5B">
        <w:rPr>
          <w:rFonts w:ascii="Bookman Old Style" w:hAnsi="Bookman Old Style"/>
        </w:rPr>
        <w:br/>
        <w:t>z częstotliwością 10 razy na 1 km</w:t>
      </w:r>
    </w:p>
    <w:p w14:paraId="5AA45BE8" w14:textId="61520A18"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 xml:space="preserve">przestrzegania ograniczeń określonych w punktach 5.3.3.2 i 5.3.3.3, dotyczących wbudowania gruntów w okresie </w:t>
      </w:r>
      <w:r w:rsidR="004945A6" w:rsidRPr="00F34B5B">
        <w:rPr>
          <w:rFonts w:ascii="Bookman Old Style" w:hAnsi="Bookman Old Style"/>
        </w:rPr>
        <w:t>opadów atmosferycznych</w:t>
      </w:r>
      <w:r w:rsidRPr="00F34B5B">
        <w:rPr>
          <w:rFonts w:ascii="Bookman Old Style" w:hAnsi="Bookman Old Style"/>
        </w:rPr>
        <w:t xml:space="preserve"> i mrozów.</w:t>
      </w:r>
    </w:p>
    <w:p w14:paraId="6E66AB2B" w14:textId="77777777" w:rsidR="00A57BFF" w:rsidRPr="00F34B5B" w:rsidRDefault="00A57BFF" w:rsidP="00A57BFF">
      <w:pPr>
        <w:pStyle w:val="StandardowytekstZnak"/>
        <w:rPr>
          <w:rFonts w:ascii="Bookman Old Style" w:hAnsi="Bookman Old Style"/>
        </w:rPr>
      </w:pPr>
      <w:r w:rsidRPr="00F34B5B">
        <w:rPr>
          <w:rFonts w:ascii="Bookman Old Style" w:hAnsi="Bookman Old Style"/>
          <w:b/>
        </w:rPr>
        <w:t>6.3.4. Sprawdzenie zagęszczenia nasypu oraz podłoża nasypu</w:t>
      </w:r>
    </w:p>
    <w:p w14:paraId="73C1934B" w14:textId="235A2797" w:rsidR="00A57BFF" w:rsidRPr="00F34B5B" w:rsidRDefault="00A57BFF" w:rsidP="00A57BFF">
      <w:pPr>
        <w:pStyle w:val="StandardowytekstZnak"/>
        <w:rPr>
          <w:rFonts w:ascii="Bookman Old Style" w:hAnsi="Bookman Old Style"/>
        </w:rPr>
      </w:pPr>
      <w:r w:rsidRPr="00F34B5B">
        <w:rPr>
          <w:rFonts w:ascii="Bookman Old Style" w:hAnsi="Bookman Old Style"/>
        </w:rPr>
        <w:t xml:space="preserve">Sprawdzenie zagęszczenia nasypu oraz podłoża nasypu polega na skontrolowaniu </w:t>
      </w:r>
      <w:r w:rsidR="00084DB2" w:rsidRPr="00F34B5B">
        <w:rPr>
          <w:rFonts w:ascii="Bookman Old Style" w:hAnsi="Bookman Old Style"/>
        </w:rPr>
        <w:t>wyników badania modułów dynamicznych E</w:t>
      </w:r>
      <w:r w:rsidR="00084DB2" w:rsidRPr="00F34B5B">
        <w:rPr>
          <w:rFonts w:ascii="Bookman Old Style" w:hAnsi="Bookman Old Style"/>
          <w:vertAlign w:val="subscript"/>
        </w:rPr>
        <w:t>vd</w:t>
      </w:r>
      <w:r w:rsidR="00084DB2" w:rsidRPr="00F34B5B">
        <w:rPr>
          <w:rFonts w:ascii="Bookman Old Style" w:hAnsi="Bookman Old Style"/>
        </w:rPr>
        <w:t xml:space="preserve"> i porównaniu </w:t>
      </w:r>
      <w:r w:rsidRPr="00F34B5B">
        <w:rPr>
          <w:rFonts w:ascii="Bookman Old Style" w:hAnsi="Bookman Old Style"/>
        </w:rPr>
        <w:t>wartości wskaźnika zagęszczenia I</w:t>
      </w:r>
      <w:r w:rsidRPr="00F34B5B">
        <w:rPr>
          <w:rFonts w:ascii="Bookman Old Style" w:hAnsi="Bookman Old Style"/>
          <w:vertAlign w:val="subscript"/>
        </w:rPr>
        <w:t>s</w:t>
      </w:r>
      <w:r w:rsidRPr="00F34B5B">
        <w:rPr>
          <w:rFonts w:ascii="Bookman Old Style" w:hAnsi="Bookman Old Style"/>
        </w:rPr>
        <w:t xml:space="preserve"> lub stosunku modułów odkształcenia z wartościami określonymi w punktach 5.3.1.1 i 5.3.4.4. </w:t>
      </w:r>
    </w:p>
    <w:p w14:paraId="630B5E38" w14:textId="244A5462" w:rsidR="00435C3F" w:rsidRPr="00F34B5B" w:rsidRDefault="00BC5B32" w:rsidP="00A57BFF">
      <w:pPr>
        <w:pStyle w:val="tekstost"/>
        <w:rPr>
          <w:rFonts w:ascii="Bookman Old Style" w:hAnsi="Bookman Old Style"/>
        </w:rPr>
      </w:pPr>
      <w:r w:rsidRPr="00F34B5B">
        <w:rPr>
          <w:rFonts w:ascii="Bookman Old Style" w:hAnsi="Bookman Old Style"/>
        </w:rPr>
        <w:t>Ewentualne (pomocnicze) o</w:t>
      </w:r>
      <w:r w:rsidR="00A57BFF" w:rsidRPr="00F34B5B">
        <w:rPr>
          <w:rFonts w:ascii="Bookman Old Style" w:hAnsi="Bookman Old Style"/>
        </w:rPr>
        <w:t>znaczeni</w:t>
      </w:r>
      <w:r w:rsidR="00435C3F" w:rsidRPr="00F34B5B">
        <w:rPr>
          <w:rFonts w:ascii="Bookman Old Style" w:hAnsi="Bookman Old Style"/>
        </w:rPr>
        <w:t>a:</w:t>
      </w:r>
    </w:p>
    <w:p w14:paraId="643C9C0E" w14:textId="32C0AB43" w:rsidR="00A57BFF" w:rsidRPr="00F34B5B" w:rsidRDefault="00435C3F" w:rsidP="00A57BFF">
      <w:pPr>
        <w:pStyle w:val="tekstost"/>
        <w:rPr>
          <w:rFonts w:ascii="Bookman Old Style" w:hAnsi="Bookman Old Style"/>
          <w:strike/>
        </w:rPr>
      </w:pPr>
      <w:r w:rsidRPr="00F34B5B">
        <w:rPr>
          <w:rFonts w:ascii="Bookman Old Style" w:hAnsi="Bookman Old Style"/>
        </w:rPr>
        <w:t>-</w:t>
      </w:r>
      <w:r w:rsidR="00A57BFF" w:rsidRPr="00F34B5B">
        <w:rPr>
          <w:rFonts w:ascii="Bookman Old Style" w:hAnsi="Bookman Old Style"/>
        </w:rPr>
        <w:t xml:space="preserve"> wskaźnika zagęszczenia I</w:t>
      </w:r>
      <w:r w:rsidR="00A57BFF" w:rsidRPr="00F34B5B">
        <w:rPr>
          <w:rFonts w:ascii="Bookman Old Style" w:hAnsi="Bookman Old Style"/>
          <w:vertAlign w:val="subscript"/>
        </w:rPr>
        <w:t>s</w:t>
      </w:r>
      <w:r w:rsidR="00A57BFF" w:rsidRPr="00F34B5B">
        <w:rPr>
          <w:rFonts w:ascii="Bookman Old Style" w:hAnsi="Bookman Old Style"/>
        </w:rPr>
        <w:t xml:space="preserve"> powinno być przeprowadzone według normy BN-77/8931-12 [4], </w:t>
      </w:r>
      <w:r w:rsidRPr="00F34B5B">
        <w:rPr>
          <w:rFonts w:ascii="Bookman Old Style" w:hAnsi="Bookman Old Style"/>
        </w:rPr>
        <w:br/>
        <w:t xml:space="preserve">- </w:t>
      </w:r>
      <w:r w:rsidR="00A57BFF" w:rsidRPr="00F34B5B">
        <w:rPr>
          <w:rFonts w:ascii="Bookman Old Style" w:hAnsi="Bookman Old Style"/>
        </w:rPr>
        <w:t xml:space="preserve">oznaczenie modułów odkształcenia według normy PN-S-02205 [3]. </w:t>
      </w:r>
    </w:p>
    <w:p w14:paraId="043BB003" w14:textId="77777777" w:rsidR="00A57BFF" w:rsidRPr="00F34B5B" w:rsidRDefault="00A57BFF" w:rsidP="00A57BFF">
      <w:pPr>
        <w:pStyle w:val="tekstost"/>
        <w:rPr>
          <w:rFonts w:ascii="Bookman Old Style" w:hAnsi="Bookman Old Style"/>
        </w:rPr>
      </w:pPr>
      <w:r w:rsidRPr="00F34B5B">
        <w:rPr>
          <w:rFonts w:ascii="Bookman Old Style" w:hAnsi="Bookman Old Style"/>
        </w:rPr>
        <w:t>Zagęszczenie każdej warstwy należy kontrolować nie rzadziej niż:</w:t>
      </w:r>
    </w:p>
    <w:p w14:paraId="00DC1E4A" w14:textId="101A502C"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 xml:space="preserve">jeden raz w trzech punktach na </w:t>
      </w:r>
      <w:r w:rsidR="00084DB2" w:rsidRPr="00F34B5B">
        <w:rPr>
          <w:rFonts w:ascii="Bookman Old Style" w:hAnsi="Bookman Old Style"/>
        </w:rPr>
        <w:t xml:space="preserve">5 </w:t>
      </w:r>
      <w:r w:rsidRPr="00F34B5B">
        <w:rPr>
          <w:rFonts w:ascii="Bookman Old Style" w:hAnsi="Bookman Old Style"/>
        </w:rPr>
        <w:t>000 m</w:t>
      </w:r>
      <w:r w:rsidRPr="00F34B5B">
        <w:rPr>
          <w:rFonts w:ascii="Bookman Old Style" w:hAnsi="Bookman Old Style"/>
          <w:vertAlign w:val="superscript"/>
        </w:rPr>
        <w:t>2</w:t>
      </w:r>
      <w:r w:rsidRPr="00F34B5B">
        <w:rPr>
          <w:rFonts w:ascii="Bookman Old Style" w:hAnsi="Bookman Old Style"/>
        </w:rPr>
        <w:t xml:space="preserve"> warstwy, w przypadku określenia wartości I</w:t>
      </w:r>
      <w:r w:rsidRPr="00F34B5B">
        <w:rPr>
          <w:rFonts w:ascii="Bookman Old Style" w:hAnsi="Bookman Old Style"/>
          <w:vertAlign w:val="subscript"/>
        </w:rPr>
        <w:t>s</w:t>
      </w:r>
      <w:r w:rsidR="001377D8" w:rsidRPr="00F34B5B">
        <w:rPr>
          <w:rFonts w:ascii="Bookman Old Style" w:hAnsi="Bookman Old Style"/>
        </w:rPr>
        <w:t xml:space="preserve"> (opcjonalnie)</w:t>
      </w:r>
      <w:r w:rsidRPr="00F34B5B">
        <w:rPr>
          <w:rFonts w:ascii="Bookman Old Style" w:hAnsi="Bookman Old Style"/>
        </w:rPr>
        <w:t>,</w:t>
      </w:r>
    </w:p>
    <w:p w14:paraId="17829D08" w14:textId="5C8263A0"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jeden raz w trzech punktach na 2000 m</w:t>
      </w:r>
      <w:r w:rsidRPr="00F34B5B">
        <w:rPr>
          <w:rFonts w:ascii="Bookman Old Style" w:hAnsi="Bookman Old Style"/>
          <w:vertAlign w:val="superscript"/>
        </w:rPr>
        <w:t>2</w:t>
      </w:r>
      <w:r w:rsidRPr="00F34B5B">
        <w:rPr>
          <w:rFonts w:ascii="Bookman Old Style" w:hAnsi="Bookman Old Style"/>
        </w:rPr>
        <w:t xml:space="preserve"> warstwy w przypadku określenia pierwotnego i wtórnego modułu odkształcenia</w:t>
      </w:r>
      <w:r w:rsidR="001377D8" w:rsidRPr="00F34B5B">
        <w:rPr>
          <w:rFonts w:ascii="Bookman Old Style" w:hAnsi="Bookman Old Style"/>
        </w:rPr>
        <w:t xml:space="preserve"> (opcjonalnie)</w:t>
      </w:r>
      <w:r w:rsidRPr="00F34B5B">
        <w:rPr>
          <w:rFonts w:ascii="Bookman Old Style" w:hAnsi="Bookman Old Style"/>
        </w:rPr>
        <w:t>.</w:t>
      </w:r>
    </w:p>
    <w:p w14:paraId="08CEEC77" w14:textId="1134E172" w:rsidR="00A57BFF" w:rsidRPr="00F34B5B" w:rsidRDefault="00A57BFF" w:rsidP="00A57BFF">
      <w:pPr>
        <w:pStyle w:val="tekstost"/>
        <w:rPr>
          <w:rFonts w:ascii="Bookman Old Style" w:hAnsi="Bookman Old Style"/>
        </w:rPr>
      </w:pPr>
      <w:r w:rsidRPr="00F34B5B">
        <w:rPr>
          <w:rFonts w:ascii="Bookman Old Style" w:hAnsi="Bookman Old Style"/>
        </w:rPr>
        <w:t xml:space="preserve">Wyniki kontroli zagęszczenia robót Wykonawca powinien wpisywać do dokumentów laboratoryjnych. Prawidłowość zagęszczenia konkretnej warstwy nasypu lub podłoża pod nasypem </w:t>
      </w:r>
      <w:r w:rsidR="00D6372F" w:rsidRPr="00F34B5B">
        <w:rPr>
          <w:rFonts w:ascii="Bookman Old Style" w:hAnsi="Bookman Old Style"/>
        </w:rPr>
        <w:t xml:space="preserve">Wykonawca przedstawi </w:t>
      </w:r>
      <w:r w:rsidRPr="00F34B5B">
        <w:rPr>
          <w:rFonts w:ascii="Bookman Old Style" w:hAnsi="Bookman Old Style"/>
        </w:rPr>
        <w:t>Inżynier</w:t>
      </w:r>
      <w:r w:rsidR="00D6372F" w:rsidRPr="00F34B5B">
        <w:rPr>
          <w:rFonts w:ascii="Bookman Old Style" w:hAnsi="Bookman Old Style"/>
        </w:rPr>
        <w:t>owi</w:t>
      </w:r>
      <w:r w:rsidR="00D24163" w:rsidRPr="00F34B5B">
        <w:rPr>
          <w:rFonts w:ascii="Bookman Old Style" w:hAnsi="Bookman Old Style"/>
        </w:rPr>
        <w:t xml:space="preserve"> na wezwanie</w:t>
      </w:r>
      <w:r w:rsidRPr="00F34B5B">
        <w:rPr>
          <w:rFonts w:ascii="Bookman Old Style" w:hAnsi="Bookman Old Style"/>
        </w:rPr>
        <w:t>.</w:t>
      </w:r>
    </w:p>
    <w:p w14:paraId="055244D3" w14:textId="77777777" w:rsidR="00A57BFF" w:rsidRPr="00F34B5B" w:rsidRDefault="00A57BFF" w:rsidP="00A57BFF">
      <w:pPr>
        <w:pStyle w:val="tekstost"/>
        <w:rPr>
          <w:rFonts w:ascii="Bookman Old Style" w:hAnsi="Bookman Old Style"/>
        </w:rPr>
      </w:pPr>
      <w:r w:rsidRPr="00F34B5B">
        <w:rPr>
          <w:rFonts w:ascii="Bookman Old Style" w:hAnsi="Bookman Old Style"/>
          <w:b/>
        </w:rPr>
        <w:t>6.3.5. Pomiary kształtu nasypu</w:t>
      </w:r>
    </w:p>
    <w:p w14:paraId="4026F53B" w14:textId="77777777" w:rsidR="00A57BFF" w:rsidRPr="00F34B5B" w:rsidRDefault="00A57BFF" w:rsidP="00A57BFF">
      <w:pPr>
        <w:pStyle w:val="tekstost"/>
        <w:rPr>
          <w:rFonts w:ascii="Bookman Old Style" w:hAnsi="Bookman Old Style"/>
        </w:rPr>
      </w:pPr>
      <w:r w:rsidRPr="00F34B5B">
        <w:rPr>
          <w:rFonts w:ascii="Bookman Old Style" w:hAnsi="Bookman Old Style"/>
        </w:rPr>
        <w:t>Pomiary kształtu nasypu obejmują kontrolę:</w:t>
      </w:r>
    </w:p>
    <w:p w14:paraId="319ABED3"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prawidłowości wykonania skarp.</w:t>
      </w:r>
    </w:p>
    <w:p w14:paraId="1897737B" w14:textId="34B9909B" w:rsidR="00A57BFF" w:rsidRPr="00F34B5B" w:rsidRDefault="00A57BFF" w:rsidP="00A57BFF">
      <w:pPr>
        <w:pStyle w:val="Standardowytekst1"/>
        <w:rPr>
          <w:rFonts w:ascii="Bookman Old Style" w:hAnsi="Bookman Old Style"/>
        </w:rPr>
      </w:pPr>
      <w:r w:rsidRPr="00F34B5B">
        <w:rPr>
          <w:rFonts w:ascii="Bookman Old Style" w:hAnsi="Bookman Old Style"/>
        </w:rPr>
        <w:t xml:space="preserve">Sprawdzenie prawidłowości wykonania skarp polega na skontrolowaniu zgodności </w:t>
      </w:r>
      <w:r w:rsidRPr="00F34B5B">
        <w:rPr>
          <w:rFonts w:ascii="Bookman Old Style" w:hAnsi="Bookman Old Style"/>
        </w:rPr>
        <w:br/>
        <w:t xml:space="preserve">z wymaganiami dotyczącymi pochyleń i dokładności wykonania skarp, określonymi </w:t>
      </w:r>
      <w:r w:rsidRPr="00F34B5B">
        <w:rPr>
          <w:rFonts w:ascii="Bookman Old Style" w:hAnsi="Bookman Old Style"/>
        </w:rPr>
        <w:br/>
        <w:t>w Dokumentacji Projektowej.</w:t>
      </w:r>
    </w:p>
    <w:bookmarkEnd w:id="14"/>
    <w:bookmarkEnd w:id="15"/>
    <w:p w14:paraId="0535EC76" w14:textId="77777777" w:rsidR="00A57BFF" w:rsidRPr="00F34B5B" w:rsidRDefault="00A57BFF" w:rsidP="00A57BFF">
      <w:pPr>
        <w:pStyle w:val="Zwykytekst"/>
        <w:spacing w:before="240"/>
        <w:jc w:val="both"/>
        <w:rPr>
          <w:rFonts w:ascii="Bookman Old Style" w:hAnsi="Bookman Old Style"/>
          <w:b/>
        </w:rPr>
      </w:pPr>
      <w:r w:rsidRPr="00F34B5B">
        <w:rPr>
          <w:rFonts w:ascii="Bookman Old Style" w:hAnsi="Bookman Old Style"/>
          <w:b/>
        </w:rPr>
        <w:t>7. OBMIAR ROBÓT</w:t>
      </w:r>
    </w:p>
    <w:p w14:paraId="00BD15E1" w14:textId="77777777" w:rsidR="00A57BFF" w:rsidRPr="00F34B5B" w:rsidRDefault="00A57BFF" w:rsidP="00A57BFF">
      <w:pPr>
        <w:pStyle w:val="Zwykytekst"/>
        <w:jc w:val="both"/>
        <w:rPr>
          <w:rFonts w:ascii="Bookman Old Style" w:hAnsi="Bookman Old Style"/>
          <w:b/>
          <w:u w:val="single"/>
        </w:rPr>
      </w:pPr>
      <w:r w:rsidRPr="00F34B5B">
        <w:rPr>
          <w:rFonts w:ascii="Bookman Old Style" w:hAnsi="Bookman Old Style"/>
          <w:b/>
          <w:u w:val="single"/>
        </w:rPr>
        <w:t>7.1. Ogólne zasady obmiaru robót</w:t>
      </w:r>
    </w:p>
    <w:p w14:paraId="70FD1640" w14:textId="4DED5B01" w:rsidR="00A57BFF" w:rsidRPr="00F34B5B" w:rsidRDefault="00A57BFF" w:rsidP="00A57BFF">
      <w:pPr>
        <w:pStyle w:val="Zwykytekst"/>
        <w:jc w:val="both"/>
        <w:rPr>
          <w:rFonts w:ascii="Bookman Old Style" w:hAnsi="Bookman Old Style"/>
        </w:rPr>
      </w:pPr>
      <w:r w:rsidRPr="00F34B5B">
        <w:rPr>
          <w:rFonts w:ascii="Bookman Old Style" w:hAnsi="Bookman Old Style"/>
        </w:rPr>
        <w:t xml:space="preserve">Ogólne zasady obmiaru robót podano w STWiORB </w:t>
      </w:r>
      <w:r w:rsidR="00D63CE9" w:rsidRPr="00F34B5B">
        <w:rPr>
          <w:rFonts w:ascii="Bookman Old Style" w:hAnsi="Bookman Old Style"/>
        </w:rPr>
        <w:t xml:space="preserve">D-00.00.00. </w:t>
      </w:r>
      <w:r w:rsidRPr="00F34B5B">
        <w:rPr>
          <w:rFonts w:ascii="Bookman Old Style" w:hAnsi="Bookman Old Style"/>
        </w:rPr>
        <w:t>pkt. 7.</w:t>
      </w:r>
    </w:p>
    <w:p w14:paraId="384B9A53" w14:textId="77777777" w:rsidR="00A57BFF" w:rsidRPr="00F34B5B" w:rsidRDefault="00A57BFF" w:rsidP="00A57BFF">
      <w:pPr>
        <w:pStyle w:val="Zwykytekst"/>
        <w:jc w:val="both"/>
        <w:rPr>
          <w:rFonts w:ascii="Bookman Old Style" w:hAnsi="Bookman Old Style"/>
          <w:b/>
          <w:u w:val="single"/>
        </w:rPr>
      </w:pPr>
      <w:r w:rsidRPr="00F34B5B">
        <w:rPr>
          <w:rFonts w:ascii="Bookman Old Style" w:hAnsi="Bookman Old Style"/>
          <w:b/>
          <w:u w:val="single"/>
        </w:rPr>
        <w:t>7.2. Jednostka obmiarowa</w:t>
      </w:r>
    </w:p>
    <w:p w14:paraId="476C37F2" w14:textId="25C92742" w:rsidR="00A57BFF" w:rsidRPr="00F34B5B" w:rsidRDefault="00A57BFF" w:rsidP="00A57BFF">
      <w:pPr>
        <w:pStyle w:val="Zwykytekst"/>
        <w:jc w:val="both"/>
        <w:rPr>
          <w:rFonts w:ascii="Bookman Old Style" w:hAnsi="Bookman Old Style"/>
        </w:rPr>
      </w:pPr>
      <w:r w:rsidRPr="00F34B5B">
        <w:rPr>
          <w:rFonts w:ascii="Bookman Old Style" w:hAnsi="Bookman Old Style"/>
        </w:rPr>
        <w:t>Jednostką obmiarową robót związanych z wykonaniem nasypów jest metr sześcienny [m</w:t>
      </w:r>
      <w:r w:rsidRPr="00F34B5B">
        <w:rPr>
          <w:rFonts w:ascii="Bookman Old Style" w:hAnsi="Bookman Old Style"/>
          <w:vertAlign w:val="superscript"/>
        </w:rPr>
        <w:t>3</w:t>
      </w:r>
      <w:r w:rsidRPr="00F34B5B">
        <w:rPr>
          <w:rFonts w:ascii="Bookman Old Style" w:hAnsi="Bookman Old Style"/>
        </w:rPr>
        <w:t xml:space="preserve">]. </w:t>
      </w:r>
    </w:p>
    <w:p w14:paraId="47C1D735" w14:textId="77777777" w:rsidR="00A57BFF" w:rsidRPr="00F34B5B" w:rsidRDefault="00A57BFF" w:rsidP="00A57BFF">
      <w:pPr>
        <w:spacing w:before="240"/>
        <w:jc w:val="both"/>
        <w:rPr>
          <w:rFonts w:ascii="Bookman Old Style" w:hAnsi="Bookman Old Style"/>
          <w:b/>
          <w:sz w:val="20"/>
          <w:szCs w:val="20"/>
        </w:rPr>
      </w:pPr>
      <w:r w:rsidRPr="00F34B5B">
        <w:rPr>
          <w:rFonts w:ascii="Bookman Old Style" w:hAnsi="Bookman Old Style"/>
          <w:b/>
          <w:sz w:val="20"/>
          <w:szCs w:val="20"/>
        </w:rPr>
        <w:t>8. ODBIÓR ROBÓT</w:t>
      </w:r>
    </w:p>
    <w:p w14:paraId="7269EC9C" w14:textId="77777777" w:rsidR="00A57BFF" w:rsidRPr="00F34B5B" w:rsidRDefault="00A57BFF" w:rsidP="00A57BFF">
      <w:pPr>
        <w:pStyle w:val="Zwykytekst"/>
        <w:jc w:val="both"/>
        <w:rPr>
          <w:rFonts w:ascii="Bookman Old Style" w:hAnsi="Bookman Old Style"/>
          <w:b/>
          <w:u w:val="single"/>
        </w:rPr>
      </w:pPr>
      <w:r w:rsidRPr="00F34B5B">
        <w:rPr>
          <w:rFonts w:ascii="Bookman Old Style" w:hAnsi="Bookman Old Style"/>
          <w:b/>
          <w:u w:val="single"/>
        </w:rPr>
        <w:t>8.1. Ogólne zasady obmiaru robót</w:t>
      </w:r>
    </w:p>
    <w:p w14:paraId="64A70D23" w14:textId="77777777" w:rsidR="00A57BFF" w:rsidRPr="00F34B5B" w:rsidRDefault="00A57BFF" w:rsidP="00A57BFF">
      <w:pPr>
        <w:pStyle w:val="Zwykytekst"/>
        <w:jc w:val="both"/>
        <w:rPr>
          <w:rFonts w:ascii="Bookman Old Style" w:hAnsi="Bookman Old Style"/>
        </w:rPr>
      </w:pPr>
      <w:r w:rsidRPr="00F34B5B">
        <w:rPr>
          <w:rFonts w:ascii="Bookman Old Style" w:hAnsi="Bookman Old Style"/>
        </w:rPr>
        <w:t>Ogólne zasady odbioru robót podano w STWiORB D-00.00.00 pkt. 8</w:t>
      </w:r>
    </w:p>
    <w:p w14:paraId="6B219CB2" w14:textId="77777777" w:rsidR="006457AE" w:rsidRPr="00F34B5B" w:rsidRDefault="006457AE" w:rsidP="00A57BFF">
      <w:pPr>
        <w:pStyle w:val="Zwykytekst"/>
        <w:jc w:val="both"/>
        <w:rPr>
          <w:rFonts w:ascii="Bookman Old Style" w:hAnsi="Bookman Old Style"/>
        </w:rPr>
      </w:pPr>
    </w:p>
    <w:p w14:paraId="18DFD4B4" w14:textId="77777777" w:rsidR="006457AE" w:rsidRPr="00F34B5B" w:rsidRDefault="006457AE" w:rsidP="006457AE">
      <w:pPr>
        <w:pStyle w:val="Zwykytekst"/>
        <w:jc w:val="both"/>
        <w:rPr>
          <w:rFonts w:ascii="Bookman Old Style" w:hAnsi="Bookman Old Style"/>
        </w:rPr>
      </w:pPr>
      <w:r w:rsidRPr="00F34B5B">
        <w:rPr>
          <w:rFonts w:ascii="Bookman Old Style" w:hAnsi="Bookman Old Style"/>
        </w:rPr>
        <w:t>Roboty uznaje się za wykonane zgodnie z dokumentacją projektową i STWiORB.</w:t>
      </w:r>
    </w:p>
    <w:p w14:paraId="591C644B" w14:textId="77777777" w:rsidR="006457AE" w:rsidRPr="00F34B5B" w:rsidRDefault="006457AE" w:rsidP="00A57BFF">
      <w:pPr>
        <w:pStyle w:val="Zwykytekst"/>
        <w:jc w:val="both"/>
        <w:rPr>
          <w:rFonts w:ascii="Bookman Old Style" w:hAnsi="Bookman Old Style"/>
        </w:rPr>
      </w:pPr>
    </w:p>
    <w:p w14:paraId="77AFEA47"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 xml:space="preserve">8.2. Zasady postępowania w przypadku wystąpienia wad i usterek </w:t>
      </w:r>
    </w:p>
    <w:p w14:paraId="32BB9B95" w14:textId="1301A79C" w:rsidR="00A57BFF" w:rsidRPr="00F34B5B" w:rsidRDefault="00A57BFF" w:rsidP="00A57BFF">
      <w:pPr>
        <w:pStyle w:val="Tekstpodstawowy"/>
        <w:ind w:right="-57"/>
        <w:jc w:val="both"/>
        <w:rPr>
          <w:rFonts w:ascii="Bookman Old Style" w:hAnsi="Bookman Old Style"/>
          <w:b w:val="0"/>
          <w:snapToGrid/>
          <w:color w:val="auto"/>
          <w:sz w:val="20"/>
        </w:rPr>
      </w:pPr>
      <w:r w:rsidRPr="00F34B5B">
        <w:rPr>
          <w:rFonts w:ascii="Bookman Old Style" w:hAnsi="Bookman Old Style"/>
          <w:b w:val="0"/>
          <w:snapToGrid/>
          <w:color w:val="auto"/>
          <w:sz w:val="20"/>
        </w:rPr>
        <w:t xml:space="preserve">W przypadku wystąpienia wad i usterek Wykonawca zobowiązany jest do ich usunięcia na własny koszt. </w:t>
      </w:r>
    </w:p>
    <w:p w14:paraId="624C6B48" w14:textId="77777777" w:rsidR="00A57BFF" w:rsidRPr="00F34B5B" w:rsidRDefault="00A57BFF" w:rsidP="00A57BFF">
      <w:pPr>
        <w:spacing w:before="240"/>
        <w:jc w:val="both"/>
        <w:rPr>
          <w:rFonts w:ascii="Bookman Old Style" w:hAnsi="Bookman Old Style"/>
          <w:b/>
          <w:sz w:val="20"/>
          <w:szCs w:val="20"/>
        </w:rPr>
      </w:pPr>
      <w:r w:rsidRPr="00F34B5B">
        <w:rPr>
          <w:rFonts w:ascii="Bookman Old Style" w:hAnsi="Bookman Old Style"/>
          <w:b/>
          <w:sz w:val="20"/>
          <w:szCs w:val="20"/>
        </w:rPr>
        <w:t>9. PODSTAWA PŁATNOŚCI</w:t>
      </w:r>
    </w:p>
    <w:p w14:paraId="28BCA64A"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9.1. Ustalenia ogólne dotyczące płatności</w:t>
      </w:r>
    </w:p>
    <w:p w14:paraId="68442565" w14:textId="4187B8B4" w:rsidR="00A57BFF" w:rsidRPr="00F34B5B" w:rsidRDefault="00A57BFF" w:rsidP="00A57BFF">
      <w:pPr>
        <w:jc w:val="both"/>
        <w:rPr>
          <w:rFonts w:ascii="Bookman Old Style" w:hAnsi="Bookman Old Style"/>
          <w:sz w:val="20"/>
        </w:rPr>
      </w:pPr>
      <w:r w:rsidRPr="00F34B5B">
        <w:rPr>
          <w:rFonts w:ascii="Bookman Old Style" w:hAnsi="Bookman Old Style"/>
          <w:sz w:val="20"/>
          <w:szCs w:val="20"/>
        </w:rPr>
        <w:t xml:space="preserve">Ustalenia ogólne dotyczące podstawy płatności podano </w:t>
      </w:r>
      <w:r w:rsidRPr="00F34B5B">
        <w:rPr>
          <w:rFonts w:ascii="Bookman Old Style" w:hAnsi="Bookman Old Style"/>
          <w:sz w:val="20"/>
        </w:rPr>
        <w:t xml:space="preserve">w STWiORB </w:t>
      </w:r>
      <w:r w:rsidR="00763242" w:rsidRPr="00F34B5B">
        <w:rPr>
          <w:rFonts w:ascii="Bookman Old Style" w:hAnsi="Bookman Old Style"/>
          <w:sz w:val="20"/>
        </w:rPr>
        <w:t xml:space="preserve">D-00.00.00. </w:t>
      </w:r>
      <w:r w:rsidRPr="00F34B5B">
        <w:rPr>
          <w:rFonts w:ascii="Bookman Old Style" w:hAnsi="Bookman Old Style"/>
          <w:sz w:val="20"/>
        </w:rPr>
        <w:t>pkt. 9.</w:t>
      </w:r>
    </w:p>
    <w:p w14:paraId="195B7C98" w14:textId="77777777" w:rsidR="00A57BFF" w:rsidRPr="00F34B5B" w:rsidRDefault="00A57BFF" w:rsidP="00A57BFF">
      <w:pPr>
        <w:jc w:val="both"/>
        <w:rPr>
          <w:rFonts w:ascii="Bookman Old Style" w:hAnsi="Bookman Old Style"/>
          <w:b/>
          <w:sz w:val="20"/>
          <w:szCs w:val="20"/>
          <w:u w:val="single"/>
        </w:rPr>
      </w:pPr>
      <w:r w:rsidRPr="00F34B5B">
        <w:rPr>
          <w:rFonts w:ascii="Bookman Old Style" w:hAnsi="Bookman Old Style"/>
          <w:b/>
          <w:sz w:val="20"/>
          <w:szCs w:val="20"/>
          <w:u w:val="single"/>
        </w:rPr>
        <w:t>9.2. Cena jednostki obmiarowej</w:t>
      </w:r>
    </w:p>
    <w:p w14:paraId="65C79215" w14:textId="77777777" w:rsidR="00A57BFF" w:rsidRPr="00F34B5B" w:rsidRDefault="00A57BFF" w:rsidP="00A57BFF">
      <w:pPr>
        <w:jc w:val="both"/>
        <w:rPr>
          <w:rFonts w:ascii="Bookman Old Style" w:hAnsi="Bookman Old Style"/>
          <w:sz w:val="20"/>
          <w:szCs w:val="20"/>
        </w:rPr>
      </w:pPr>
      <w:r w:rsidRPr="00F34B5B">
        <w:rPr>
          <w:rFonts w:ascii="Bookman Old Style" w:hAnsi="Bookman Old Style"/>
          <w:sz w:val="20"/>
          <w:szCs w:val="20"/>
        </w:rPr>
        <w:t>Cena 1 metra sześciennego [m</w:t>
      </w:r>
      <w:r w:rsidRPr="00F34B5B">
        <w:rPr>
          <w:rFonts w:ascii="Bookman Old Style" w:hAnsi="Bookman Old Style"/>
          <w:sz w:val="20"/>
          <w:szCs w:val="20"/>
          <w:vertAlign w:val="superscript"/>
        </w:rPr>
        <w:t>3</w:t>
      </w:r>
      <w:r w:rsidRPr="00F34B5B">
        <w:rPr>
          <w:rFonts w:ascii="Bookman Old Style" w:hAnsi="Bookman Old Style"/>
          <w:sz w:val="20"/>
          <w:szCs w:val="20"/>
        </w:rPr>
        <w:t>] wykonania nasypów obejmuje:</w:t>
      </w:r>
    </w:p>
    <w:p w14:paraId="343C18AE"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prace pomiarowe i przygotowawcze,</w:t>
      </w:r>
    </w:p>
    <w:p w14:paraId="008B9804"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lastRenderedPageBreak/>
        <w:t>oznakowanie robót,</w:t>
      </w:r>
    </w:p>
    <w:p w14:paraId="06538BE7"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przygotowanie podłoża pod nasyp (profilowanie, zagęszczenie),</w:t>
      </w:r>
    </w:p>
    <w:p w14:paraId="4E2AC41B"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pozyskanie gruntu, jego odspojenie i załadunek na środki transportowe,</w:t>
      </w:r>
    </w:p>
    <w:p w14:paraId="59B22511"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transport urobku na miejsce wbudowania,</w:t>
      </w:r>
    </w:p>
    <w:p w14:paraId="2244F54A"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składowanie gruntu z dokopu,</w:t>
      </w:r>
    </w:p>
    <w:p w14:paraId="4A82D1E1"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wbudowanie dostarczonego gruntu w nasyp,</w:t>
      </w:r>
    </w:p>
    <w:p w14:paraId="17BA6ED8" w14:textId="595E5D8B"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 xml:space="preserve">cenę </w:t>
      </w:r>
      <w:r w:rsidR="001377D8" w:rsidRPr="00F34B5B">
        <w:rPr>
          <w:rFonts w:ascii="Bookman Old Style" w:hAnsi="Bookman Old Style"/>
        </w:rPr>
        <w:t xml:space="preserve">ewentualnego </w:t>
      </w:r>
      <w:r w:rsidRPr="00F34B5B">
        <w:rPr>
          <w:rFonts w:ascii="Bookman Old Style" w:hAnsi="Bookman Old Style"/>
        </w:rPr>
        <w:t>ulepszenia gruntu wraz z ceną użytego spoiwa i materiału doziarniającego,</w:t>
      </w:r>
    </w:p>
    <w:p w14:paraId="663B2098"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zagęszczenie gruntu,</w:t>
      </w:r>
    </w:p>
    <w:p w14:paraId="055E560B"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profilowanie powierzchni nasypu, rowów i skarp,</w:t>
      </w:r>
    </w:p>
    <w:p w14:paraId="3FC00443"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odwodnienie terenu robót,</w:t>
      </w:r>
    </w:p>
    <w:p w14:paraId="2660D4F7"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przeprowadzenie pomiarów i badań laboratoryjnych wymaganych w specyfikacji technicznej,</w:t>
      </w:r>
      <w:r w:rsidRPr="00F34B5B">
        <w:rPr>
          <w:rFonts w:ascii="Bookman Old Style" w:hAnsi="Bookman Old Style"/>
        </w:rPr>
        <w:tab/>
      </w:r>
    </w:p>
    <w:p w14:paraId="6BD6BF66" w14:textId="77777777" w:rsidR="00A57BFF" w:rsidRPr="00F34B5B" w:rsidRDefault="00A57BFF" w:rsidP="00A57BFF">
      <w:pPr>
        <w:pStyle w:val="StandardowytekstZnak"/>
        <w:numPr>
          <w:ilvl w:val="0"/>
          <w:numId w:val="7"/>
        </w:numPr>
        <w:tabs>
          <w:tab w:val="clear" w:pos="3240"/>
          <w:tab w:val="num" w:pos="284"/>
          <w:tab w:val="num" w:pos="644"/>
        </w:tabs>
        <w:ind w:left="284" w:hanging="284"/>
        <w:rPr>
          <w:rFonts w:ascii="Bookman Old Style" w:hAnsi="Bookman Old Style"/>
        </w:rPr>
      </w:pPr>
      <w:r w:rsidRPr="00F34B5B">
        <w:rPr>
          <w:rFonts w:ascii="Bookman Old Style" w:hAnsi="Bookman Old Style"/>
        </w:rPr>
        <w:t>wszystkie inne czynności nieujęte a konieczne do wykonania w ramach niniejszej specyfikacji,</w:t>
      </w:r>
    </w:p>
    <w:p w14:paraId="2879AAAF" w14:textId="77777777" w:rsidR="00A57BFF" w:rsidRPr="00F34B5B" w:rsidRDefault="00A57BFF" w:rsidP="00E94A27">
      <w:pPr>
        <w:numPr>
          <w:ilvl w:val="1"/>
          <w:numId w:val="1"/>
        </w:numPr>
        <w:tabs>
          <w:tab w:val="num" w:pos="284"/>
        </w:tabs>
        <w:overflowPunct w:val="0"/>
        <w:autoSpaceDE w:val="0"/>
        <w:autoSpaceDN w:val="0"/>
        <w:adjustRightInd w:val="0"/>
        <w:ind w:left="360"/>
        <w:jc w:val="both"/>
        <w:rPr>
          <w:rFonts w:ascii="Bookman Old Style" w:hAnsi="Bookman Old Style"/>
          <w:sz w:val="20"/>
          <w:szCs w:val="20"/>
        </w:rPr>
      </w:pPr>
      <w:r w:rsidRPr="00F34B5B">
        <w:rPr>
          <w:rFonts w:ascii="Bookman Old Style" w:hAnsi="Bookman Old Style"/>
          <w:sz w:val="20"/>
          <w:szCs w:val="20"/>
        </w:rPr>
        <w:t>doprowadzenie okolicznego terenu do stanu sprzed wykonywania robót,</w:t>
      </w:r>
    </w:p>
    <w:p w14:paraId="3D22F6B8" w14:textId="6FF4EBED" w:rsidR="00A57BFF" w:rsidRPr="00F34B5B" w:rsidRDefault="00A57BFF" w:rsidP="00F72AB8">
      <w:pPr>
        <w:numPr>
          <w:ilvl w:val="1"/>
          <w:numId w:val="1"/>
        </w:numPr>
        <w:tabs>
          <w:tab w:val="num" w:pos="284"/>
          <w:tab w:val="num" w:pos="360"/>
        </w:tabs>
        <w:ind w:left="284" w:hanging="284"/>
        <w:jc w:val="both"/>
        <w:rPr>
          <w:rFonts w:ascii="Bookman Old Style" w:hAnsi="Bookman Old Style"/>
          <w:sz w:val="20"/>
          <w:szCs w:val="20"/>
        </w:rPr>
      </w:pPr>
      <w:r w:rsidRPr="00F34B5B">
        <w:rPr>
          <w:rFonts w:ascii="Bookman Old Style" w:hAnsi="Bookman Old Style"/>
          <w:sz w:val="20"/>
          <w:szCs w:val="20"/>
        </w:rPr>
        <w:t>wykonanie zakresu niniejszej specyfikacji objęte jest ryczałtem i wykonany obmiar nie może spowodować zwiększenia ceny.</w:t>
      </w:r>
    </w:p>
    <w:p w14:paraId="2D08DA05" w14:textId="77777777" w:rsidR="00A57BFF" w:rsidRPr="00F34B5B" w:rsidRDefault="00A57BFF" w:rsidP="00A57BFF">
      <w:pPr>
        <w:pStyle w:val="StandardowytekstZnak"/>
        <w:spacing w:before="240"/>
        <w:rPr>
          <w:rFonts w:ascii="Bookman Old Style" w:hAnsi="Bookman Old Style"/>
          <w:b/>
        </w:rPr>
      </w:pPr>
      <w:r w:rsidRPr="00F34B5B">
        <w:rPr>
          <w:rFonts w:ascii="Bookman Old Style" w:hAnsi="Bookman Old Style"/>
          <w:b/>
        </w:rPr>
        <w:t>10. PRZEPISY ZWIĄZANE</w:t>
      </w:r>
    </w:p>
    <w:p w14:paraId="47A0CA4E" w14:textId="77777777" w:rsidR="00A57BFF" w:rsidRPr="00F34B5B" w:rsidRDefault="00A57BFF" w:rsidP="00A57BFF">
      <w:pPr>
        <w:pStyle w:val="StandardowytekstZnak"/>
        <w:rPr>
          <w:rFonts w:ascii="Bookman Old Style" w:hAnsi="Bookman Old Style"/>
          <w:b/>
          <w:u w:val="single"/>
        </w:rPr>
      </w:pPr>
      <w:r w:rsidRPr="00F34B5B">
        <w:rPr>
          <w:rFonts w:ascii="Bookman Old Style" w:hAnsi="Bookman Old Style"/>
          <w:b/>
          <w:u w:val="single"/>
        </w:rPr>
        <w:t>10.1. Normy</w:t>
      </w:r>
    </w:p>
    <w:tbl>
      <w:tblPr>
        <w:tblW w:w="0" w:type="auto"/>
        <w:tblLayout w:type="fixed"/>
        <w:tblCellMar>
          <w:left w:w="70" w:type="dxa"/>
          <w:right w:w="70" w:type="dxa"/>
        </w:tblCellMar>
        <w:tblLook w:val="0000" w:firstRow="0" w:lastRow="0" w:firstColumn="0" w:lastColumn="0" w:noHBand="0" w:noVBand="0"/>
      </w:tblPr>
      <w:tblGrid>
        <w:gridCol w:w="354"/>
        <w:gridCol w:w="1876"/>
        <w:gridCol w:w="7200"/>
      </w:tblGrid>
      <w:tr w:rsidR="00A57BFF" w:rsidRPr="00F34B5B" w14:paraId="5E3EE615" w14:textId="77777777" w:rsidTr="00E37152">
        <w:tc>
          <w:tcPr>
            <w:tcW w:w="354" w:type="dxa"/>
          </w:tcPr>
          <w:p w14:paraId="7E7E0007"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1.</w:t>
            </w:r>
          </w:p>
        </w:tc>
        <w:tc>
          <w:tcPr>
            <w:tcW w:w="1876" w:type="dxa"/>
          </w:tcPr>
          <w:p w14:paraId="42D409C0"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PN-B-02480:1986</w:t>
            </w:r>
          </w:p>
        </w:tc>
        <w:tc>
          <w:tcPr>
            <w:tcW w:w="7200" w:type="dxa"/>
          </w:tcPr>
          <w:p w14:paraId="5B86D24E"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Grunty budowlane - Określenia, symbole, podział i opis gruntów</w:t>
            </w:r>
          </w:p>
        </w:tc>
      </w:tr>
      <w:tr w:rsidR="00A57BFF" w:rsidRPr="00F34B5B" w14:paraId="5D46B3A0" w14:textId="77777777" w:rsidTr="00E37152">
        <w:tc>
          <w:tcPr>
            <w:tcW w:w="354" w:type="dxa"/>
          </w:tcPr>
          <w:p w14:paraId="2E0D951D"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2.</w:t>
            </w:r>
          </w:p>
        </w:tc>
        <w:tc>
          <w:tcPr>
            <w:tcW w:w="1876" w:type="dxa"/>
          </w:tcPr>
          <w:p w14:paraId="5A1E3913"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PN-B-04481</w:t>
            </w:r>
          </w:p>
        </w:tc>
        <w:tc>
          <w:tcPr>
            <w:tcW w:w="7200" w:type="dxa"/>
          </w:tcPr>
          <w:p w14:paraId="548068F0"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Grunty budowlane - Badania próbek gruntu</w:t>
            </w:r>
          </w:p>
        </w:tc>
      </w:tr>
      <w:tr w:rsidR="00A57BFF" w:rsidRPr="00F34B5B" w14:paraId="2BF3B67C" w14:textId="77777777" w:rsidTr="00E37152">
        <w:tc>
          <w:tcPr>
            <w:tcW w:w="354" w:type="dxa"/>
          </w:tcPr>
          <w:p w14:paraId="7C65E54D"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3.</w:t>
            </w:r>
          </w:p>
        </w:tc>
        <w:tc>
          <w:tcPr>
            <w:tcW w:w="1876" w:type="dxa"/>
          </w:tcPr>
          <w:p w14:paraId="6C1AB58E"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PN-S-02205</w:t>
            </w:r>
          </w:p>
        </w:tc>
        <w:tc>
          <w:tcPr>
            <w:tcW w:w="7200" w:type="dxa"/>
          </w:tcPr>
          <w:p w14:paraId="57B3E8B8"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Drogi samochodowe. Roboty ziemne. Wymagania i badania</w:t>
            </w:r>
          </w:p>
        </w:tc>
      </w:tr>
      <w:tr w:rsidR="00A57BFF" w:rsidRPr="00F34B5B" w14:paraId="04716B6E" w14:textId="77777777" w:rsidTr="00E37152">
        <w:tc>
          <w:tcPr>
            <w:tcW w:w="354" w:type="dxa"/>
          </w:tcPr>
          <w:p w14:paraId="3FAC6C25"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4.</w:t>
            </w:r>
          </w:p>
        </w:tc>
        <w:tc>
          <w:tcPr>
            <w:tcW w:w="1876" w:type="dxa"/>
          </w:tcPr>
          <w:p w14:paraId="54BD8AA7"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BN-64/8931-01</w:t>
            </w:r>
          </w:p>
        </w:tc>
        <w:tc>
          <w:tcPr>
            <w:tcW w:w="7200" w:type="dxa"/>
          </w:tcPr>
          <w:p w14:paraId="067CFFE3"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Drogi samochodowe. Oznaczanie wskaźnika piaskowego.</w:t>
            </w:r>
          </w:p>
        </w:tc>
      </w:tr>
      <w:tr w:rsidR="00A57BFF" w:rsidRPr="00F34B5B" w14:paraId="71C5A188" w14:textId="77777777" w:rsidTr="00E37152">
        <w:tc>
          <w:tcPr>
            <w:tcW w:w="354" w:type="dxa"/>
          </w:tcPr>
          <w:p w14:paraId="0E3304C6"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5.</w:t>
            </w:r>
          </w:p>
        </w:tc>
        <w:tc>
          <w:tcPr>
            <w:tcW w:w="1876" w:type="dxa"/>
          </w:tcPr>
          <w:p w14:paraId="564AE10B"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BN-64/8931-02</w:t>
            </w:r>
          </w:p>
        </w:tc>
        <w:tc>
          <w:tcPr>
            <w:tcW w:w="7200" w:type="dxa"/>
          </w:tcPr>
          <w:p w14:paraId="7D4F99A1" w14:textId="191FAD3E" w:rsidR="00A57BFF" w:rsidRPr="00F34B5B" w:rsidRDefault="00A57BFF" w:rsidP="001377D8">
            <w:pPr>
              <w:pStyle w:val="StandardowytekstZnak"/>
              <w:rPr>
                <w:rFonts w:ascii="Bookman Old Style" w:hAnsi="Bookman Old Style"/>
              </w:rPr>
            </w:pPr>
            <w:r w:rsidRPr="00F34B5B">
              <w:rPr>
                <w:rFonts w:ascii="Bookman Old Style" w:hAnsi="Bookman Old Style"/>
              </w:rPr>
              <w:t>Oznaczanie modułu odkształcenia nawierzchni podatnych i podłoża przez</w:t>
            </w:r>
            <w:r w:rsidR="001377D8" w:rsidRPr="00F34B5B">
              <w:rPr>
                <w:rFonts w:ascii="Bookman Old Style" w:hAnsi="Bookman Old Style"/>
              </w:rPr>
              <w:t xml:space="preserve"> </w:t>
            </w:r>
            <w:r w:rsidRPr="00F34B5B">
              <w:rPr>
                <w:rFonts w:ascii="Bookman Old Style" w:hAnsi="Bookman Old Style"/>
              </w:rPr>
              <w:t>obciążenie płytą.</w:t>
            </w:r>
          </w:p>
        </w:tc>
      </w:tr>
      <w:tr w:rsidR="00A57BFF" w:rsidRPr="00F34B5B" w14:paraId="3354973D" w14:textId="77777777" w:rsidTr="00E37152">
        <w:tc>
          <w:tcPr>
            <w:tcW w:w="354" w:type="dxa"/>
          </w:tcPr>
          <w:p w14:paraId="45D2DBE9"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6.</w:t>
            </w:r>
          </w:p>
        </w:tc>
        <w:tc>
          <w:tcPr>
            <w:tcW w:w="1876" w:type="dxa"/>
          </w:tcPr>
          <w:p w14:paraId="454B5D13"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BN-64/8931-12</w:t>
            </w:r>
          </w:p>
        </w:tc>
        <w:tc>
          <w:tcPr>
            <w:tcW w:w="7200" w:type="dxa"/>
          </w:tcPr>
          <w:p w14:paraId="773E7D29" w14:textId="77777777" w:rsidR="00A57BFF" w:rsidRPr="00F34B5B" w:rsidRDefault="00A57BFF" w:rsidP="00E37152">
            <w:pPr>
              <w:pStyle w:val="StandardowytekstZnak"/>
              <w:rPr>
                <w:rFonts w:ascii="Bookman Old Style" w:hAnsi="Bookman Old Style"/>
              </w:rPr>
            </w:pPr>
            <w:r w:rsidRPr="00F34B5B">
              <w:rPr>
                <w:rFonts w:ascii="Bookman Old Style" w:hAnsi="Bookman Old Style"/>
              </w:rPr>
              <w:t>Oznaczenie wskaźnika zagęszczenia gruntu</w:t>
            </w:r>
          </w:p>
        </w:tc>
      </w:tr>
    </w:tbl>
    <w:p w14:paraId="47139C7F" w14:textId="77777777" w:rsidR="009D7C71" w:rsidRPr="00F34B5B" w:rsidRDefault="009D7C71" w:rsidP="00A57BFF">
      <w:pPr>
        <w:pStyle w:val="StandardowytekstZnak"/>
        <w:rPr>
          <w:rFonts w:ascii="Bookman Old Style" w:hAnsi="Bookman Old Style"/>
          <w:b/>
          <w:u w:val="single"/>
        </w:rPr>
      </w:pPr>
    </w:p>
    <w:p w14:paraId="4F3AD70D" w14:textId="13FF6007" w:rsidR="00A57BFF" w:rsidRPr="00F34B5B" w:rsidRDefault="00A57BFF" w:rsidP="00A57BFF">
      <w:pPr>
        <w:pStyle w:val="StandardowytekstZnak"/>
        <w:rPr>
          <w:rFonts w:ascii="Bookman Old Style" w:hAnsi="Bookman Old Style"/>
          <w:b/>
          <w:u w:val="single"/>
        </w:rPr>
      </w:pPr>
      <w:r w:rsidRPr="00F34B5B">
        <w:rPr>
          <w:rFonts w:ascii="Bookman Old Style" w:hAnsi="Bookman Old Style"/>
          <w:b/>
          <w:u w:val="single"/>
        </w:rPr>
        <w:t>10.2. Inne dokumenty</w:t>
      </w:r>
    </w:p>
    <w:p w14:paraId="3B972D58" w14:textId="2FC9A6AB" w:rsidR="009D7C71" w:rsidRPr="00F34B5B" w:rsidRDefault="009D7C71" w:rsidP="009D7C71">
      <w:pPr>
        <w:pStyle w:val="tekstost"/>
        <w:rPr>
          <w:rFonts w:ascii="Bookman Old Style" w:hAnsi="Bookman Old Style"/>
          <w:bCs/>
        </w:rPr>
      </w:pPr>
      <w:r w:rsidRPr="00F34B5B">
        <w:rPr>
          <w:rFonts w:ascii="Bookman Old Style" w:hAnsi="Bookman Old Style"/>
          <w:bCs/>
        </w:rPr>
        <w:t xml:space="preserve">1. Katalog typowych konstrukcji nawierzchni podatnych i półsztywnych. Załącznik </w:t>
      </w:r>
      <w:r w:rsidRPr="00F34B5B">
        <w:rPr>
          <w:rFonts w:ascii="Bookman Old Style" w:hAnsi="Bookman Old Style"/>
          <w:bCs/>
        </w:rPr>
        <w:br/>
        <w:t>do zarządzenia Nr 31Generalnego Dyrektora Dróg Krajowych i Autostrad z dnia 16.06.2014 r.</w:t>
      </w:r>
    </w:p>
    <w:p w14:paraId="1F58EA09" w14:textId="5C4DF29D" w:rsidR="00A57BFF" w:rsidRPr="00F34B5B" w:rsidRDefault="009D7C71" w:rsidP="009D7C71">
      <w:pPr>
        <w:pStyle w:val="StandardowytekstZnak"/>
        <w:tabs>
          <w:tab w:val="left" w:pos="426"/>
        </w:tabs>
        <w:rPr>
          <w:rFonts w:ascii="Bookman Old Style" w:hAnsi="Bookman Old Style"/>
        </w:rPr>
      </w:pPr>
      <w:r w:rsidRPr="00F34B5B">
        <w:rPr>
          <w:rFonts w:ascii="Bookman Old Style" w:hAnsi="Bookman Old Style"/>
        </w:rPr>
        <w:t xml:space="preserve">2. </w:t>
      </w:r>
      <w:r w:rsidR="00A57BFF" w:rsidRPr="00F34B5B">
        <w:rPr>
          <w:rFonts w:ascii="Bookman Old Style" w:hAnsi="Bookman Old Style"/>
        </w:rPr>
        <w:t>Instrukcja badań podłoża gruntowego budowli drogowych i mostowych, GDDP,Warszawa 1998.</w:t>
      </w:r>
    </w:p>
    <w:p w14:paraId="611B5354" w14:textId="326D4AA2" w:rsidR="00A57BFF" w:rsidRPr="00F34B5B" w:rsidRDefault="009D7C71" w:rsidP="009D7C71">
      <w:pPr>
        <w:pStyle w:val="StandardowytekstZnak"/>
        <w:tabs>
          <w:tab w:val="left" w:pos="426"/>
        </w:tabs>
        <w:rPr>
          <w:rFonts w:ascii="Bookman Old Style" w:hAnsi="Bookman Old Style"/>
        </w:rPr>
      </w:pPr>
      <w:r w:rsidRPr="00F34B5B">
        <w:rPr>
          <w:rFonts w:ascii="Bookman Old Style" w:hAnsi="Bookman Old Style"/>
        </w:rPr>
        <w:t xml:space="preserve">3. </w:t>
      </w:r>
      <w:r w:rsidR="00A57BFF" w:rsidRPr="00F34B5B">
        <w:rPr>
          <w:rFonts w:ascii="Bookman Old Style" w:hAnsi="Bookman Old Style"/>
        </w:rPr>
        <w:t>Wytyczne wzmacniania podłoża gruntowego w budownictwie drogowym, IBDiM, Warszawa 2002.</w:t>
      </w:r>
    </w:p>
    <w:p w14:paraId="7058981A" w14:textId="77777777" w:rsidR="00A57BFF" w:rsidRPr="00F34B5B" w:rsidRDefault="00A57BFF" w:rsidP="00A57BFF">
      <w:pPr>
        <w:pStyle w:val="StandardowytekstZnak"/>
        <w:tabs>
          <w:tab w:val="left" w:pos="426"/>
        </w:tabs>
        <w:rPr>
          <w:rFonts w:ascii="Bookman Old Style" w:hAnsi="Bookman Old Style"/>
        </w:rPr>
      </w:pPr>
    </w:p>
    <w:p w14:paraId="11D00E71" w14:textId="77777777" w:rsidR="00A57BFF" w:rsidRPr="00F34B5B" w:rsidRDefault="00A57BFF" w:rsidP="00A57BFF">
      <w:pPr>
        <w:pStyle w:val="StandardowytekstZnak"/>
        <w:tabs>
          <w:tab w:val="left" w:pos="426"/>
        </w:tabs>
        <w:rPr>
          <w:rFonts w:ascii="Bookman Old Style" w:hAnsi="Bookman Old Style"/>
        </w:rPr>
      </w:pPr>
    </w:p>
    <w:p w14:paraId="75C6B53A" w14:textId="77777777" w:rsidR="00A57BFF" w:rsidRPr="00F34B5B" w:rsidRDefault="00A57BFF" w:rsidP="00A57BFF">
      <w:pPr>
        <w:pStyle w:val="StandardowytekstZnak"/>
        <w:tabs>
          <w:tab w:val="left" w:pos="426"/>
        </w:tabs>
        <w:rPr>
          <w:rFonts w:ascii="Bookman Old Style" w:hAnsi="Bookman Old Style"/>
        </w:rPr>
      </w:pPr>
    </w:p>
    <w:p w14:paraId="63236A67" w14:textId="77777777" w:rsidR="00A57BFF" w:rsidRPr="00F34B5B" w:rsidRDefault="00A57BFF" w:rsidP="00A57BFF">
      <w:pPr>
        <w:pStyle w:val="StandardowytekstZnak"/>
        <w:tabs>
          <w:tab w:val="left" w:pos="426"/>
        </w:tabs>
        <w:rPr>
          <w:rFonts w:ascii="Bookman Old Style" w:hAnsi="Bookman Old Style"/>
        </w:rPr>
      </w:pPr>
    </w:p>
    <w:p w14:paraId="60B5E6D4" w14:textId="77777777" w:rsidR="00A57BFF" w:rsidRPr="00F34B5B" w:rsidRDefault="00A57BFF" w:rsidP="00A57BFF">
      <w:pPr>
        <w:pStyle w:val="StandardowytekstZnak"/>
        <w:tabs>
          <w:tab w:val="left" w:pos="426"/>
        </w:tabs>
        <w:rPr>
          <w:rFonts w:ascii="Bookman Old Style" w:hAnsi="Bookman Old Style"/>
        </w:rPr>
      </w:pPr>
    </w:p>
    <w:p w14:paraId="061814C0" w14:textId="77777777" w:rsidR="00D33DF2" w:rsidRPr="00F34B5B" w:rsidRDefault="00D33DF2">
      <w:pPr>
        <w:rPr>
          <w:rFonts w:ascii="Bookman Old Style" w:hAnsi="Bookman Old Style"/>
        </w:rPr>
      </w:pPr>
    </w:p>
    <w:sectPr w:rsidR="00D33DF2" w:rsidRPr="00F34B5B" w:rsidSect="00F72AB8">
      <w:footerReference w:type="default" r:id="rId8"/>
      <w:pgSz w:w="11906" w:h="16838"/>
      <w:pgMar w:top="851" w:right="1274"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A9D0C" w14:textId="77777777" w:rsidR="00BF67D1" w:rsidRDefault="00BF67D1">
      <w:r>
        <w:separator/>
      </w:r>
    </w:p>
  </w:endnote>
  <w:endnote w:type="continuationSeparator" w:id="0">
    <w:p w14:paraId="587EA395" w14:textId="77777777" w:rsidR="00BF67D1" w:rsidRDefault="00BF67D1">
      <w:r>
        <w:continuationSeparator/>
      </w:r>
    </w:p>
  </w:endnote>
  <w:endnote w:type="continuationNotice" w:id="1">
    <w:p w14:paraId="45DC963B" w14:textId="77777777" w:rsidR="00BF67D1" w:rsidRDefault="00BF6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36EC1" w14:textId="4A56F296" w:rsidR="00A57BFF" w:rsidRPr="00AA2EB1" w:rsidRDefault="00A57BFF" w:rsidP="00223689">
    <w:pPr>
      <w:pStyle w:val="Nagwek2"/>
      <w:pBdr>
        <w:top w:val="single" w:sz="4" w:space="1" w:color="auto"/>
      </w:pBdr>
      <w:jc w:val="left"/>
      <w:rPr>
        <w:b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3526D" w14:textId="77777777" w:rsidR="00BF67D1" w:rsidRDefault="00BF67D1">
      <w:r>
        <w:separator/>
      </w:r>
    </w:p>
  </w:footnote>
  <w:footnote w:type="continuationSeparator" w:id="0">
    <w:p w14:paraId="10B08886" w14:textId="77777777" w:rsidR="00BF67D1" w:rsidRDefault="00BF67D1">
      <w:r>
        <w:continuationSeparator/>
      </w:r>
    </w:p>
  </w:footnote>
  <w:footnote w:type="continuationNotice" w:id="1">
    <w:p w14:paraId="3D60212A" w14:textId="77777777" w:rsidR="00BF67D1" w:rsidRDefault="00BF67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0A29"/>
    <w:multiLevelType w:val="hybridMultilevel"/>
    <w:tmpl w:val="DC008E72"/>
    <w:lvl w:ilvl="0" w:tplc="73BA2FE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CDA2DB0"/>
    <w:multiLevelType w:val="singleLevel"/>
    <w:tmpl w:val="D0E8CAEA"/>
    <w:lvl w:ilvl="0">
      <w:start w:val="1"/>
      <w:numFmt w:val="lowerLetter"/>
      <w:lvlText w:val="%1)"/>
      <w:lvlJc w:val="left"/>
      <w:pPr>
        <w:tabs>
          <w:tab w:val="num" w:pos="360"/>
        </w:tabs>
        <w:ind w:left="360" w:hanging="360"/>
      </w:pPr>
      <w:rPr>
        <w:b w:val="0"/>
        <w:i w:val="0"/>
      </w:rPr>
    </w:lvl>
  </w:abstractNum>
  <w:abstractNum w:abstractNumId="2" w15:restartNumberingAfterBreak="0">
    <w:nsid w:val="38956B3D"/>
    <w:multiLevelType w:val="hybridMultilevel"/>
    <w:tmpl w:val="B6EAAD90"/>
    <w:lvl w:ilvl="0" w:tplc="80747FE2">
      <w:start w:val="1"/>
      <w:numFmt w:val="bullet"/>
      <w:lvlText w:val=""/>
      <w:lvlJc w:val="left"/>
      <w:pPr>
        <w:ind w:left="1340" w:hanging="360"/>
      </w:pPr>
      <w:rPr>
        <w:rFonts w:ascii="Symbol" w:hAnsi="Symbol" w:hint="default"/>
      </w:rPr>
    </w:lvl>
    <w:lvl w:ilvl="1" w:tplc="04150003" w:tentative="1">
      <w:start w:val="1"/>
      <w:numFmt w:val="bullet"/>
      <w:lvlText w:val="o"/>
      <w:lvlJc w:val="left"/>
      <w:pPr>
        <w:ind w:left="2060" w:hanging="360"/>
      </w:pPr>
      <w:rPr>
        <w:rFonts w:ascii="Courier New" w:hAnsi="Courier New" w:cs="Courier New" w:hint="default"/>
      </w:rPr>
    </w:lvl>
    <w:lvl w:ilvl="2" w:tplc="04150005" w:tentative="1">
      <w:start w:val="1"/>
      <w:numFmt w:val="bullet"/>
      <w:lvlText w:val=""/>
      <w:lvlJc w:val="left"/>
      <w:pPr>
        <w:ind w:left="2780" w:hanging="360"/>
      </w:pPr>
      <w:rPr>
        <w:rFonts w:ascii="Wingdings" w:hAnsi="Wingdings" w:hint="default"/>
      </w:rPr>
    </w:lvl>
    <w:lvl w:ilvl="3" w:tplc="04150001" w:tentative="1">
      <w:start w:val="1"/>
      <w:numFmt w:val="bullet"/>
      <w:lvlText w:val=""/>
      <w:lvlJc w:val="left"/>
      <w:pPr>
        <w:ind w:left="3500" w:hanging="360"/>
      </w:pPr>
      <w:rPr>
        <w:rFonts w:ascii="Symbol" w:hAnsi="Symbol" w:hint="default"/>
      </w:rPr>
    </w:lvl>
    <w:lvl w:ilvl="4" w:tplc="04150003" w:tentative="1">
      <w:start w:val="1"/>
      <w:numFmt w:val="bullet"/>
      <w:lvlText w:val="o"/>
      <w:lvlJc w:val="left"/>
      <w:pPr>
        <w:ind w:left="4220" w:hanging="360"/>
      </w:pPr>
      <w:rPr>
        <w:rFonts w:ascii="Courier New" w:hAnsi="Courier New" w:cs="Courier New" w:hint="default"/>
      </w:rPr>
    </w:lvl>
    <w:lvl w:ilvl="5" w:tplc="04150005" w:tentative="1">
      <w:start w:val="1"/>
      <w:numFmt w:val="bullet"/>
      <w:lvlText w:val=""/>
      <w:lvlJc w:val="left"/>
      <w:pPr>
        <w:ind w:left="4940" w:hanging="360"/>
      </w:pPr>
      <w:rPr>
        <w:rFonts w:ascii="Wingdings" w:hAnsi="Wingdings" w:hint="default"/>
      </w:rPr>
    </w:lvl>
    <w:lvl w:ilvl="6" w:tplc="04150001" w:tentative="1">
      <w:start w:val="1"/>
      <w:numFmt w:val="bullet"/>
      <w:lvlText w:val=""/>
      <w:lvlJc w:val="left"/>
      <w:pPr>
        <w:ind w:left="5660" w:hanging="360"/>
      </w:pPr>
      <w:rPr>
        <w:rFonts w:ascii="Symbol" w:hAnsi="Symbol" w:hint="default"/>
      </w:rPr>
    </w:lvl>
    <w:lvl w:ilvl="7" w:tplc="04150003" w:tentative="1">
      <w:start w:val="1"/>
      <w:numFmt w:val="bullet"/>
      <w:lvlText w:val="o"/>
      <w:lvlJc w:val="left"/>
      <w:pPr>
        <w:ind w:left="6380" w:hanging="360"/>
      </w:pPr>
      <w:rPr>
        <w:rFonts w:ascii="Courier New" w:hAnsi="Courier New" w:cs="Courier New" w:hint="default"/>
      </w:rPr>
    </w:lvl>
    <w:lvl w:ilvl="8" w:tplc="04150005" w:tentative="1">
      <w:start w:val="1"/>
      <w:numFmt w:val="bullet"/>
      <w:lvlText w:val=""/>
      <w:lvlJc w:val="left"/>
      <w:pPr>
        <w:ind w:left="7100" w:hanging="360"/>
      </w:pPr>
      <w:rPr>
        <w:rFonts w:ascii="Wingdings" w:hAnsi="Wingdings" w:hint="default"/>
      </w:rPr>
    </w:lvl>
  </w:abstractNum>
  <w:abstractNum w:abstractNumId="3" w15:restartNumberingAfterBreak="0">
    <w:nsid w:val="45A807D6"/>
    <w:multiLevelType w:val="hybridMultilevel"/>
    <w:tmpl w:val="80B295C6"/>
    <w:lvl w:ilvl="0" w:tplc="BB16D4C6">
      <w:start w:val="1"/>
      <w:numFmt w:val="bullet"/>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4" w15:restartNumberingAfterBreak="0">
    <w:nsid w:val="4AD80DA4"/>
    <w:multiLevelType w:val="multilevel"/>
    <w:tmpl w:val="17E4FDBE"/>
    <w:lvl w:ilvl="0">
      <w:start w:val="1"/>
      <w:numFmt w:val="lowerLetter"/>
      <w:lvlText w:val="%1)"/>
      <w:lvlJc w:val="left"/>
      <w:pPr>
        <w:tabs>
          <w:tab w:val="num" w:pos="360"/>
        </w:tabs>
        <w:ind w:left="360" w:hanging="360"/>
      </w:pPr>
    </w:lvl>
    <w:lvl w:ilvl="1">
      <w:start w:val="1"/>
      <w:numFmt w:val="bullet"/>
      <w:lvlText w:val=""/>
      <w:lvlJc w:val="left"/>
      <w:pPr>
        <w:tabs>
          <w:tab w:val="num" w:pos="644"/>
        </w:tabs>
        <w:ind w:left="644" w:hanging="360"/>
      </w:pPr>
      <w:rPr>
        <w:rFonts w:ascii="Symbol" w:hAnsi="Symbol"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5CF03CD4"/>
    <w:multiLevelType w:val="multilevel"/>
    <w:tmpl w:val="BF8A9236"/>
    <w:lvl w:ilvl="0">
      <w:start w:val="4"/>
      <w:numFmt w:val="decimal"/>
      <w:lvlText w:val="%1."/>
      <w:lvlJc w:val="left"/>
      <w:pPr>
        <w:tabs>
          <w:tab w:val="num" w:pos="360"/>
        </w:tabs>
        <w:ind w:left="360" w:hanging="360"/>
      </w:pPr>
      <w:rPr>
        <w:b w:val="0"/>
        <w:i w:val="0"/>
      </w:rPr>
    </w:lvl>
    <w:lvl w:ilvl="1">
      <w:start w:val="4"/>
      <w:numFmt w:val="decimal"/>
      <w:isLgl/>
      <w:lvlText w:val="%1.%2."/>
      <w:lvlJc w:val="left"/>
      <w:pPr>
        <w:tabs>
          <w:tab w:val="num" w:pos="495"/>
        </w:tabs>
        <w:ind w:left="495" w:hanging="495"/>
      </w:pPr>
      <w:rPr>
        <w:rFonts w:hint="default"/>
      </w:rPr>
    </w:lvl>
    <w:lvl w:ilvl="2">
      <w:start w:val="2"/>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6" w15:restartNumberingAfterBreak="0">
    <w:nsid w:val="68217C9E"/>
    <w:multiLevelType w:val="hybridMultilevel"/>
    <w:tmpl w:val="13A27B24"/>
    <w:lvl w:ilvl="0" w:tplc="B8922DD0">
      <w:start w:val="1"/>
      <w:numFmt w:val="bullet"/>
      <w:lvlText w:val=""/>
      <w:lvlJc w:val="left"/>
      <w:pPr>
        <w:ind w:left="360" w:hanging="360"/>
      </w:pPr>
      <w:rPr>
        <w:rFonts w:ascii="Symbol" w:hAnsi="Symbol" w:hint="default"/>
      </w:rPr>
    </w:lvl>
    <w:lvl w:ilvl="1" w:tplc="F7A4DF54" w:tentative="1">
      <w:start w:val="1"/>
      <w:numFmt w:val="bullet"/>
      <w:lvlText w:val="o"/>
      <w:lvlJc w:val="left"/>
      <w:pPr>
        <w:ind w:left="1440" w:hanging="360"/>
      </w:pPr>
      <w:rPr>
        <w:rFonts w:ascii="Courier New" w:hAnsi="Courier New" w:cs="Courier New" w:hint="default"/>
      </w:rPr>
    </w:lvl>
    <w:lvl w:ilvl="2" w:tplc="2A289B4E" w:tentative="1">
      <w:start w:val="1"/>
      <w:numFmt w:val="bullet"/>
      <w:lvlText w:val=""/>
      <w:lvlJc w:val="left"/>
      <w:pPr>
        <w:ind w:left="2160" w:hanging="360"/>
      </w:pPr>
      <w:rPr>
        <w:rFonts w:ascii="Wingdings" w:hAnsi="Wingdings" w:hint="default"/>
      </w:rPr>
    </w:lvl>
    <w:lvl w:ilvl="3" w:tplc="6D5241D6" w:tentative="1">
      <w:start w:val="1"/>
      <w:numFmt w:val="bullet"/>
      <w:lvlText w:val=""/>
      <w:lvlJc w:val="left"/>
      <w:pPr>
        <w:ind w:left="2880" w:hanging="360"/>
      </w:pPr>
      <w:rPr>
        <w:rFonts w:ascii="Symbol" w:hAnsi="Symbol" w:hint="default"/>
      </w:rPr>
    </w:lvl>
    <w:lvl w:ilvl="4" w:tplc="F9B8D3AA" w:tentative="1">
      <w:start w:val="1"/>
      <w:numFmt w:val="bullet"/>
      <w:lvlText w:val="o"/>
      <w:lvlJc w:val="left"/>
      <w:pPr>
        <w:ind w:left="3600" w:hanging="360"/>
      </w:pPr>
      <w:rPr>
        <w:rFonts w:ascii="Courier New" w:hAnsi="Courier New" w:cs="Courier New" w:hint="default"/>
      </w:rPr>
    </w:lvl>
    <w:lvl w:ilvl="5" w:tplc="DDE64B20" w:tentative="1">
      <w:start w:val="1"/>
      <w:numFmt w:val="bullet"/>
      <w:lvlText w:val=""/>
      <w:lvlJc w:val="left"/>
      <w:pPr>
        <w:ind w:left="4320" w:hanging="360"/>
      </w:pPr>
      <w:rPr>
        <w:rFonts w:ascii="Wingdings" w:hAnsi="Wingdings" w:hint="default"/>
      </w:rPr>
    </w:lvl>
    <w:lvl w:ilvl="6" w:tplc="84820566" w:tentative="1">
      <w:start w:val="1"/>
      <w:numFmt w:val="bullet"/>
      <w:lvlText w:val=""/>
      <w:lvlJc w:val="left"/>
      <w:pPr>
        <w:ind w:left="5040" w:hanging="360"/>
      </w:pPr>
      <w:rPr>
        <w:rFonts w:ascii="Symbol" w:hAnsi="Symbol" w:hint="default"/>
      </w:rPr>
    </w:lvl>
    <w:lvl w:ilvl="7" w:tplc="60C0193C" w:tentative="1">
      <w:start w:val="1"/>
      <w:numFmt w:val="bullet"/>
      <w:lvlText w:val="o"/>
      <w:lvlJc w:val="left"/>
      <w:pPr>
        <w:ind w:left="5760" w:hanging="360"/>
      </w:pPr>
      <w:rPr>
        <w:rFonts w:ascii="Courier New" w:hAnsi="Courier New" w:cs="Courier New" w:hint="default"/>
      </w:rPr>
    </w:lvl>
    <w:lvl w:ilvl="8" w:tplc="6CCC3428" w:tentative="1">
      <w:start w:val="1"/>
      <w:numFmt w:val="bullet"/>
      <w:lvlText w:val=""/>
      <w:lvlJc w:val="left"/>
      <w:pPr>
        <w:ind w:left="6480" w:hanging="360"/>
      </w:pPr>
      <w:rPr>
        <w:rFonts w:ascii="Wingdings" w:hAnsi="Wingdings" w:hint="default"/>
      </w:rPr>
    </w:lvl>
  </w:abstractNum>
  <w:abstractNum w:abstractNumId="7" w15:restartNumberingAfterBreak="0">
    <w:nsid w:val="69842928"/>
    <w:multiLevelType w:val="hybridMultilevel"/>
    <w:tmpl w:val="552E2AA8"/>
    <w:lvl w:ilvl="0" w:tplc="2A44EAE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77F673F9"/>
    <w:multiLevelType w:val="hybridMultilevel"/>
    <w:tmpl w:val="EE06F0D2"/>
    <w:lvl w:ilvl="0" w:tplc="2A44EAEC">
      <w:start w:val="1"/>
      <w:numFmt w:val="bullet"/>
      <w:lvlText w:val=""/>
      <w:lvlJc w:val="left"/>
      <w:pPr>
        <w:tabs>
          <w:tab w:val="num" w:pos="3240"/>
        </w:tabs>
        <w:ind w:left="3240" w:hanging="360"/>
      </w:pPr>
      <w:rPr>
        <w:rFonts w:ascii="Symbol" w:hAnsi="Symbol" w:hint="default"/>
      </w:rPr>
    </w:lvl>
    <w:lvl w:ilvl="1" w:tplc="04150003" w:tentative="1">
      <w:start w:val="1"/>
      <w:numFmt w:val="bullet"/>
      <w:lvlText w:val="o"/>
      <w:lvlJc w:val="left"/>
      <w:pPr>
        <w:tabs>
          <w:tab w:val="num" w:pos="3960"/>
        </w:tabs>
        <w:ind w:left="3960" w:hanging="360"/>
      </w:pPr>
      <w:rPr>
        <w:rFonts w:ascii="Courier New" w:hAnsi="Courier New" w:cs="Courier New" w:hint="default"/>
      </w:rPr>
    </w:lvl>
    <w:lvl w:ilvl="2" w:tplc="04150005" w:tentative="1">
      <w:start w:val="1"/>
      <w:numFmt w:val="bullet"/>
      <w:lvlText w:val=""/>
      <w:lvlJc w:val="left"/>
      <w:pPr>
        <w:tabs>
          <w:tab w:val="num" w:pos="4680"/>
        </w:tabs>
        <w:ind w:left="4680" w:hanging="360"/>
      </w:pPr>
      <w:rPr>
        <w:rFonts w:ascii="Wingdings" w:hAnsi="Wingdings" w:hint="default"/>
      </w:rPr>
    </w:lvl>
    <w:lvl w:ilvl="3" w:tplc="04150001" w:tentative="1">
      <w:start w:val="1"/>
      <w:numFmt w:val="bullet"/>
      <w:lvlText w:val=""/>
      <w:lvlJc w:val="left"/>
      <w:pPr>
        <w:tabs>
          <w:tab w:val="num" w:pos="5400"/>
        </w:tabs>
        <w:ind w:left="5400" w:hanging="360"/>
      </w:pPr>
      <w:rPr>
        <w:rFonts w:ascii="Symbol" w:hAnsi="Symbol" w:hint="default"/>
      </w:rPr>
    </w:lvl>
    <w:lvl w:ilvl="4" w:tplc="04150003" w:tentative="1">
      <w:start w:val="1"/>
      <w:numFmt w:val="bullet"/>
      <w:lvlText w:val="o"/>
      <w:lvlJc w:val="left"/>
      <w:pPr>
        <w:tabs>
          <w:tab w:val="num" w:pos="6120"/>
        </w:tabs>
        <w:ind w:left="6120" w:hanging="360"/>
      </w:pPr>
      <w:rPr>
        <w:rFonts w:ascii="Courier New" w:hAnsi="Courier New" w:cs="Courier New" w:hint="default"/>
      </w:rPr>
    </w:lvl>
    <w:lvl w:ilvl="5" w:tplc="04150005" w:tentative="1">
      <w:start w:val="1"/>
      <w:numFmt w:val="bullet"/>
      <w:lvlText w:val=""/>
      <w:lvlJc w:val="left"/>
      <w:pPr>
        <w:tabs>
          <w:tab w:val="num" w:pos="6840"/>
        </w:tabs>
        <w:ind w:left="6840" w:hanging="360"/>
      </w:pPr>
      <w:rPr>
        <w:rFonts w:ascii="Wingdings" w:hAnsi="Wingdings" w:hint="default"/>
      </w:rPr>
    </w:lvl>
    <w:lvl w:ilvl="6" w:tplc="04150001" w:tentative="1">
      <w:start w:val="1"/>
      <w:numFmt w:val="bullet"/>
      <w:lvlText w:val=""/>
      <w:lvlJc w:val="left"/>
      <w:pPr>
        <w:tabs>
          <w:tab w:val="num" w:pos="7560"/>
        </w:tabs>
        <w:ind w:left="7560" w:hanging="360"/>
      </w:pPr>
      <w:rPr>
        <w:rFonts w:ascii="Symbol" w:hAnsi="Symbol" w:hint="default"/>
      </w:rPr>
    </w:lvl>
    <w:lvl w:ilvl="7" w:tplc="04150003" w:tentative="1">
      <w:start w:val="1"/>
      <w:numFmt w:val="bullet"/>
      <w:lvlText w:val="o"/>
      <w:lvlJc w:val="left"/>
      <w:pPr>
        <w:tabs>
          <w:tab w:val="num" w:pos="8280"/>
        </w:tabs>
        <w:ind w:left="8280" w:hanging="360"/>
      </w:pPr>
      <w:rPr>
        <w:rFonts w:ascii="Courier New" w:hAnsi="Courier New" w:cs="Courier New" w:hint="default"/>
      </w:rPr>
    </w:lvl>
    <w:lvl w:ilvl="8" w:tplc="04150005" w:tentative="1">
      <w:start w:val="1"/>
      <w:numFmt w:val="bullet"/>
      <w:lvlText w:val=""/>
      <w:lvlJc w:val="left"/>
      <w:pPr>
        <w:tabs>
          <w:tab w:val="num" w:pos="9000"/>
        </w:tabs>
        <w:ind w:left="9000" w:hanging="360"/>
      </w:pPr>
      <w:rPr>
        <w:rFonts w:ascii="Wingdings" w:hAnsi="Wingdings" w:hint="default"/>
      </w:rPr>
    </w:lvl>
  </w:abstractNum>
  <w:abstractNum w:abstractNumId="9" w15:restartNumberingAfterBreak="0">
    <w:nsid w:val="79517948"/>
    <w:multiLevelType w:val="singleLevel"/>
    <w:tmpl w:val="D0E8CAEA"/>
    <w:lvl w:ilvl="0">
      <w:start w:val="1"/>
      <w:numFmt w:val="lowerLetter"/>
      <w:lvlText w:val="%1)"/>
      <w:lvlJc w:val="left"/>
      <w:pPr>
        <w:tabs>
          <w:tab w:val="num" w:pos="360"/>
        </w:tabs>
        <w:ind w:left="360" w:hanging="360"/>
      </w:pPr>
      <w:rPr>
        <w:b w:val="0"/>
        <w:i w:val="0"/>
      </w:rPr>
    </w:lvl>
  </w:abstractNum>
  <w:num w:numId="1" w16cid:durableId="897207171">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5234724">
    <w:abstractNumId w:val="5"/>
  </w:num>
  <w:num w:numId="3" w16cid:durableId="194542043">
    <w:abstractNumId w:val="1"/>
  </w:num>
  <w:num w:numId="4" w16cid:durableId="183791487">
    <w:abstractNumId w:val="0"/>
  </w:num>
  <w:num w:numId="5" w16cid:durableId="1437360062">
    <w:abstractNumId w:val="7"/>
  </w:num>
  <w:num w:numId="6" w16cid:durableId="593517464">
    <w:abstractNumId w:val="3"/>
  </w:num>
  <w:num w:numId="7" w16cid:durableId="1073895040">
    <w:abstractNumId w:val="8"/>
  </w:num>
  <w:num w:numId="8" w16cid:durableId="270478955">
    <w:abstractNumId w:val="6"/>
  </w:num>
  <w:num w:numId="9" w16cid:durableId="1263683536">
    <w:abstractNumId w:val="9"/>
  </w:num>
  <w:num w:numId="10" w16cid:durableId="20881868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7BFF"/>
    <w:rsid w:val="0000519F"/>
    <w:rsid w:val="00026654"/>
    <w:rsid w:val="000525C8"/>
    <w:rsid w:val="00071E8C"/>
    <w:rsid w:val="000751E7"/>
    <w:rsid w:val="00084DB2"/>
    <w:rsid w:val="000A1033"/>
    <w:rsid w:val="000A4D76"/>
    <w:rsid w:val="000D7920"/>
    <w:rsid w:val="000F44F3"/>
    <w:rsid w:val="000F60D5"/>
    <w:rsid w:val="000F632A"/>
    <w:rsid w:val="001132CC"/>
    <w:rsid w:val="001377D8"/>
    <w:rsid w:val="00144036"/>
    <w:rsid w:val="00184DDF"/>
    <w:rsid w:val="00250E2B"/>
    <w:rsid w:val="002C115D"/>
    <w:rsid w:val="003220A0"/>
    <w:rsid w:val="00322CCA"/>
    <w:rsid w:val="00322F79"/>
    <w:rsid w:val="00375691"/>
    <w:rsid w:val="003B6FB3"/>
    <w:rsid w:val="00415A1D"/>
    <w:rsid w:val="00435C3F"/>
    <w:rsid w:val="00452B3A"/>
    <w:rsid w:val="0046657A"/>
    <w:rsid w:val="004945A6"/>
    <w:rsid w:val="004B6716"/>
    <w:rsid w:val="004D7084"/>
    <w:rsid w:val="004E46C0"/>
    <w:rsid w:val="00517980"/>
    <w:rsid w:val="00533B61"/>
    <w:rsid w:val="006457AE"/>
    <w:rsid w:val="00676808"/>
    <w:rsid w:val="006807A9"/>
    <w:rsid w:val="00696B6B"/>
    <w:rsid w:val="0072740C"/>
    <w:rsid w:val="007275CB"/>
    <w:rsid w:val="00737DAE"/>
    <w:rsid w:val="00763242"/>
    <w:rsid w:val="007711A0"/>
    <w:rsid w:val="0079585F"/>
    <w:rsid w:val="007D0CB4"/>
    <w:rsid w:val="007F2CD3"/>
    <w:rsid w:val="00811811"/>
    <w:rsid w:val="00863CD2"/>
    <w:rsid w:val="008659A4"/>
    <w:rsid w:val="008778FE"/>
    <w:rsid w:val="008854F6"/>
    <w:rsid w:val="008B6E9F"/>
    <w:rsid w:val="009C242F"/>
    <w:rsid w:val="009D7C71"/>
    <w:rsid w:val="009F5A62"/>
    <w:rsid w:val="00A1063F"/>
    <w:rsid w:val="00A57BFF"/>
    <w:rsid w:val="00A667FF"/>
    <w:rsid w:val="00A95B63"/>
    <w:rsid w:val="00AB5DA3"/>
    <w:rsid w:val="00AF74EA"/>
    <w:rsid w:val="00B06B72"/>
    <w:rsid w:val="00B1306A"/>
    <w:rsid w:val="00B15573"/>
    <w:rsid w:val="00BC0361"/>
    <w:rsid w:val="00BC5B32"/>
    <w:rsid w:val="00BF67D1"/>
    <w:rsid w:val="00C255C6"/>
    <w:rsid w:val="00C7264A"/>
    <w:rsid w:val="00C75E0E"/>
    <w:rsid w:val="00CA6EB9"/>
    <w:rsid w:val="00CE375E"/>
    <w:rsid w:val="00CF1CBF"/>
    <w:rsid w:val="00D07134"/>
    <w:rsid w:val="00D24163"/>
    <w:rsid w:val="00D33DF2"/>
    <w:rsid w:val="00D6372F"/>
    <w:rsid w:val="00D63CE9"/>
    <w:rsid w:val="00E36916"/>
    <w:rsid w:val="00E94A27"/>
    <w:rsid w:val="00E979C9"/>
    <w:rsid w:val="00EB3C61"/>
    <w:rsid w:val="00EE019D"/>
    <w:rsid w:val="00F00D3F"/>
    <w:rsid w:val="00F0375B"/>
    <w:rsid w:val="00F1566A"/>
    <w:rsid w:val="00F34B5B"/>
    <w:rsid w:val="00F72AB8"/>
    <w:rsid w:val="00F81BAF"/>
    <w:rsid w:val="00F90877"/>
    <w:rsid w:val="00FB4A3E"/>
    <w:rsid w:val="00FF03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F0C0F4"/>
  <w15:chartTrackingRefBased/>
  <w15:docId w15:val="{BE0030B6-AE14-4F3F-9FB4-CB7C1AEB2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Standardowy1"/>
    <w:qFormat/>
    <w:rsid w:val="00250E2B"/>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2">
    <w:name w:val="heading 2"/>
    <w:aliases w:val="Znak6"/>
    <w:basedOn w:val="Normalny"/>
    <w:next w:val="Normalny"/>
    <w:link w:val="Nagwek2Znak"/>
    <w:qFormat/>
    <w:rsid w:val="00A57BFF"/>
    <w:pPr>
      <w:keepNext/>
      <w:jc w:val="both"/>
      <w:outlineLvl w:val="1"/>
    </w:pPr>
    <w:rPr>
      <w:b/>
      <w:szCs w:val="20"/>
    </w:rPr>
  </w:style>
  <w:style w:type="paragraph" w:styleId="Nagwek4">
    <w:name w:val="heading 4"/>
    <w:aliases w:val="Nagłówek 4 Znak Znak,Legenda Znak Znak Znak,Nagłówek 4 Znak Znak Znak Znak Znak,Znak Znak9 Znak Znak Znak Znak Znak Znak Znak Znak,Znak4 Znak Znak Znak Znak Znak Znak Znak Znak Znak,Znak Znak9,Znak4 Znak1"/>
    <w:basedOn w:val="Normalny"/>
    <w:next w:val="Normalny"/>
    <w:link w:val="Nagwek4Znak1"/>
    <w:qFormat/>
    <w:rsid w:val="00A57BFF"/>
    <w:pPr>
      <w:keepNext/>
      <w:spacing w:before="120" w:after="60"/>
      <w:outlineLvl w:val="3"/>
    </w:pPr>
    <w:rPr>
      <w:b/>
      <w:bCs/>
      <w:szCs w:val="2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aliases w:val="Znak6 Znak"/>
    <w:basedOn w:val="Domylnaczcionkaakapitu"/>
    <w:link w:val="Nagwek2"/>
    <w:rsid w:val="00A57BFF"/>
    <w:rPr>
      <w:rFonts w:ascii="Times New Roman" w:eastAsia="Times New Roman" w:hAnsi="Times New Roman" w:cs="Times New Roman"/>
      <w:b/>
      <w:kern w:val="0"/>
      <w:sz w:val="24"/>
      <w:szCs w:val="20"/>
      <w:lang w:eastAsia="pl-PL"/>
      <w14:ligatures w14:val="none"/>
    </w:rPr>
  </w:style>
  <w:style w:type="character" w:customStyle="1" w:styleId="Nagwek4Znak">
    <w:name w:val="Nagłówek 4 Znak"/>
    <w:basedOn w:val="Domylnaczcionkaakapitu"/>
    <w:uiPriority w:val="9"/>
    <w:semiHidden/>
    <w:rsid w:val="00A57BFF"/>
    <w:rPr>
      <w:rFonts w:asciiTheme="majorHAnsi" w:eastAsiaTheme="majorEastAsia" w:hAnsiTheme="majorHAnsi" w:cstheme="majorBidi"/>
      <w:i/>
      <w:iCs/>
      <w:color w:val="2F5496" w:themeColor="accent1" w:themeShade="BF"/>
      <w:kern w:val="0"/>
      <w:sz w:val="24"/>
      <w:szCs w:val="24"/>
      <w:lang w:eastAsia="pl-PL"/>
      <w14:ligatures w14:val="none"/>
    </w:rPr>
  </w:style>
  <w:style w:type="character" w:customStyle="1" w:styleId="Nagwek4Znak1">
    <w:name w:val="Nagłówek 4 Znak1"/>
    <w:aliases w:val="Nagłówek 4 Znak Znak Znak,Legenda Znak Znak Znak Znak,Nagłówek 4 Znak Znak Znak Znak Znak Znak,Znak Znak9 Znak Znak Znak Znak Znak Znak Znak Znak Znak,Znak4 Znak Znak Znak Znak Znak Znak Znak Znak Znak Znak,Znak Znak9 Znak"/>
    <w:basedOn w:val="Domylnaczcionkaakapitu"/>
    <w:link w:val="Nagwek4"/>
    <w:rsid w:val="00A57BFF"/>
    <w:rPr>
      <w:rFonts w:ascii="Times New Roman" w:eastAsia="Times New Roman" w:hAnsi="Times New Roman" w:cs="Times New Roman"/>
      <w:b/>
      <w:bCs/>
      <w:kern w:val="0"/>
      <w:sz w:val="24"/>
      <w:szCs w:val="28"/>
      <w:lang w:eastAsia="pl-PL"/>
      <w14:ligatures w14:val="none"/>
    </w:rPr>
  </w:style>
  <w:style w:type="paragraph" w:customStyle="1" w:styleId="tekstost">
    <w:name w:val="tekst ost"/>
    <w:basedOn w:val="Normalny"/>
    <w:rsid w:val="00A57BFF"/>
    <w:pPr>
      <w:jc w:val="both"/>
    </w:pPr>
    <w:rPr>
      <w:sz w:val="20"/>
      <w:szCs w:val="20"/>
    </w:rPr>
  </w:style>
  <w:style w:type="paragraph" w:styleId="Tekstpodstawowy">
    <w:name w:val="Body Text"/>
    <w:aliases w:val=" Znak9, Znak3 Znak Znak Znak Znak Znak, Znak3 Znak Znak Znak Znak Znak Znak Zna, Znak3 Znak Znak Znak Znak, Znak3 Znak Znak Znak Znak Znak Znak Znak, Znak31 Znak Znak Znak Znak Znak Znak Znak Znak Znak Znak Znak Znak Znak Znak Znak Znak"/>
    <w:basedOn w:val="Normalny"/>
    <w:link w:val="TekstpodstawowyZnak"/>
    <w:qFormat/>
    <w:rsid w:val="00A57BFF"/>
    <w:pPr>
      <w:tabs>
        <w:tab w:val="left" w:pos="1008"/>
        <w:tab w:val="left" w:pos="7459"/>
      </w:tabs>
    </w:pPr>
    <w:rPr>
      <w:rFonts w:ascii="Arial" w:hAnsi="Arial"/>
      <w:b/>
      <w:snapToGrid w:val="0"/>
      <w:color w:val="000000"/>
      <w:szCs w:val="20"/>
    </w:rPr>
  </w:style>
  <w:style w:type="character" w:customStyle="1" w:styleId="TekstpodstawowyZnak">
    <w:name w:val="Tekst podstawowy Znak"/>
    <w:aliases w:val=" Znak9 Znak, Znak3 Znak Znak Znak Znak Znak Znak, Znak3 Znak Znak Znak Znak Znak Znak Zna Znak, Znak3 Znak Znak Znak Znak Znak1, Znak3 Znak Znak Znak Znak Znak Znak Znak Znak"/>
    <w:basedOn w:val="Domylnaczcionkaakapitu"/>
    <w:link w:val="Tekstpodstawowy"/>
    <w:rsid w:val="00A57BFF"/>
    <w:rPr>
      <w:rFonts w:ascii="Arial" w:eastAsia="Times New Roman" w:hAnsi="Arial" w:cs="Times New Roman"/>
      <w:b/>
      <w:snapToGrid w:val="0"/>
      <w:color w:val="000000"/>
      <w:kern w:val="0"/>
      <w:sz w:val="24"/>
      <w:szCs w:val="20"/>
      <w:lang w:eastAsia="pl-PL"/>
      <w14:ligatures w14:val="none"/>
    </w:rPr>
  </w:style>
  <w:style w:type="paragraph" w:styleId="Tekstpodstawowy2">
    <w:name w:val="Body Text 2"/>
    <w:aliases w:val="Tekst podstawowy 22, Znak Znak7, Znak Znak8, Znak Znak41, Znak Znak4,Znak Znak7,Znak Znak8,Znak Znak41"/>
    <w:basedOn w:val="Normalny"/>
    <w:link w:val="Tekstpodstawowy2Znak"/>
    <w:rsid w:val="00A57BFF"/>
    <w:pPr>
      <w:tabs>
        <w:tab w:val="left" w:pos="0"/>
        <w:tab w:val="right" w:pos="5766"/>
      </w:tabs>
      <w:spacing w:line="240" w:lineRule="atLeast"/>
    </w:pPr>
    <w:rPr>
      <w:rFonts w:ascii="Arial" w:hAnsi="Arial"/>
      <w:szCs w:val="20"/>
      <w:lang w:val="en-GB"/>
    </w:rPr>
  </w:style>
  <w:style w:type="character" w:customStyle="1" w:styleId="Tekstpodstawowy2Znak">
    <w:name w:val="Tekst podstawowy 2 Znak"/>
    <w:aliases w:val="Tekst podstawowy 22 Znak, Znak Znak7 Znak, Znak Znak8 Znak, Znak Znak41 Znak, Znak Znak4 Znak,Znak Znak7 Znak,Znak Znak8 Znak,Znak Znak41 Znak"/>
    <w:basedOn w:val="Domylnaczcionkaakapitu"/>
    <w:link w:val="Tekstpodstawowy2"/>
    <w:rsid w:val="00A57BFF"/>
    <w:rPr>
      <w:rFonts w:ascii="Arial" w:eastAsia="Times New Roman" w:hAnsi="Arial" w:cs="Times New Roman"/>
      <w:kern w:val="0"/>
      <w:sz w:val="24"/>
      <w:szCs w:val="20"/>
      <w:lang w:val="en-GB" w:eastAsia="pl-PL"/>
      <w14:ligatures w14:val="none"/>
    </w:rPr>
  </w:style>
  <w:style w:type="paragraph" w:styleId="Tekstpodstawowy3">
    <w:name w:val="Body Text 3"/>
    <w:basedOn w:val="Normalny"/>
    <w:link w:val="Tekstpodstawowy3Znak"/>
    <w:rsid w:val="00A57BFF"/>
    <w:pPr>
      <w:tabs>
        <w:tab w:val="left" w:pos="0"/>
        <w:tab w:val="right" w:pos="8809"/>
      </w:tabs>
      <w:jc w:val="both"/>
    </w:pPr>
    <w:rPr>
      <w:sz w:val="22"/>
      <w:szCs w:val="20"/>
    </w:rPr>
  </w:style>
  <w:style w:type="character" w:customStyle="1" w:styleId="Tekstpodstawowy3Znak">
    <w:name w:val="Tekst podstawowy 3 Znak"/>
    <w:basedOn w:val="Domylnaczcionkaakapitu"/>
    <w:link w:val="Tekstpodstawowy3"/>
    <w:rsid w:val="00A57BFF"/>
    <w:rPr>
      <w:rFonts w:ascii="Times New Roman" w:eastAsia="Times New Roman" w:hAnsi="Times New Roman" w:cs="Times New Roman"/>
      <w:kern w:val="0"/>
      <w:szCs w:val="20"/>
      <w:lang w:eastAsia="pl-PL"/>
      <w14:ligatures w14:val="none"/>
    </w:rPr>
  </w:style>
  <w:style w:type="paragraph" w:styleId="Stopka">
    <w:name w:val="footer"/>
    <w:aliases w:val=" Znak2, Znak21,Znak2,Znak21"/>
    <w:basedOn w:val="Normalny"/>
    <w:link w:val="StopkaZnak"/>
    <w:rsid w:val="00A57BFF"/>
    <w:pPr>
      <w:tabs>
        <w:tab w:val="center" w:pos="4536"/>
        <w:tab w:val="right" w:pos="9072"/>
      </w:tabs>
    </w:pPr>
    <w:rPr>
      <w:sz w:val="20"/>
      <w:szCs w:val="20"/>
    </w:rPr>
  </w:style>
  <w:style w:type="character" w:customStyle="1" w:styleId="StopkaZnak">
    <w:name w:val="Stopka Znak"/>
    <w:aliases w:val=" Znak2 Znak, Znak21 Znak,Znak2 Znak,Znak21 Znak"/>
    <w:basedOn w:val="Domylnaczcionkaakapitu"/>
    <w:link w:val="Stopka"/>
    <w:rsid w:val="00A57BFF"/>
    <w:rPr>
      <w:rFonts w:ascii="Times New Roman" w:eastAsia="Times New Roman" w:hAnsi="Times New Roman" w:cs="Times New Roman"/>
      <w:kern w:val="0"/>
      <w:sz w:val="20"/>
      <w:szCs w:val="20"/>
      <w:lang w:eastAsia="pl-PL"/>
      <w14:ligatures w14:val="none"/>
    </w:rPr>
  </w:style>
  <w:style w:type="paragraph" w:styleId="Zwykytekst">
    <w:name w:val="Plain Text"/>
    <w:basedOn w:val="Normalny"/>
    <w:link w:val="ZwykytekstZnak"/>
    <w:rsid w:val="00A57BFF"/>
    <w:rPr>
      <w:rFonts w:ascii="Courier New" w:hAnsi="Courier New"/>
      <w:sz w:val="20"/>
      <w:szCs w:val="20"/>
    </w:rPr>
  </w:style>
  <w:style w:type="character" w:customStyle="1" w:styleId="ZwykytekstZnak">
    <w:name w:val="Zwykły tekst Znak"/>
    <w:basedOn w:val="Domylnaczcionkaakapitu"/>
    <w:link w:val="Zwykytekst"/>
    <w:rsid w:val="00A57BFF"/>
    <w:rPr>
      <w:rFonts w:ascii="Courier New" w:eastAsia="Times New Roman" w:hAnsi="Courier New" w:cs="Times New Roman"/>
      <w:kern w:val="0"/>
      <w:sz w:val="20"/>
      <w:szCs w:val="20"/>
      <w:lang w:eastAsia="pl-PL"/>
      <w14:ligatures w14:val="none"/>
    </w:rPr>
  </w:style>
  <w:style w:type="paragraph" w:customStyle="1" w:styleId="StylIwony">
    <w:name w:val="Styl Iwony"/>
    <w:basedOn w:val="Normalny"/>
    <w:link w:val="StylIwonyZnak"/>
    <w:rsid w:val="00A57BFF"/>
    <w:pPr>
      <w:overflowPunct w:val="0"/>
      <w:autoSpaceDE w:val="0"/>
      <w:autoSpaceDN w:val="0"/>
      <w:adjustRightInd w:val="0"/>
      <w:spacing w:before="120" w:after="120"/>
      <w:jc w:val="both"/>
      <w:textAlignment w:val="baseline"/>
    </w:pPr>
    <w:rPr>
      <w:rFonts w:ascii="Bookman Old Style" w:hAnsi="Bookman Old Style"/>
      <w:szCs w:val="20"/>
    </w:rPr>
  </w:style>
  <w:style w:type="paragraph" w:customStyle="1" w:styleId="Standardowytekst1">
    <w:name w:val="Standardowy.tekst1"/>
    <w:rsid w:val="00A57BF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customStyle="1" w:styleId="Asienka">
    <w:name w:val="Asienka"/>
    <w:basedOn w:val="Normalny"/>
    <w:autoRedefine/>
    <w:rsid w:val="00A57BFF"/>
    <w:pPr>
      <w:ind w:left="-70"/>
    </w:pPr>
    <w:rPr>
      <w:sz w:val="20"/>
    </w:rPr>
  </w:style>
  <w:style w:type="paragraph" w:customStyle="1" w:styleId="StandardowytekstZnak">
    <w:name w:val="Standardowy.tekst Znak"/>
    <w:rsid w:val="00A57BFF"/>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
    <w:name w:val="header"/>
    <w:aliases w:val="Nagłówek strony"/>
    <w:basedOn w:val="Normalny"/>
    <w:link w:val="NagwekZnak"/>
    <w:rsid w:val="00A57BFF"/>
    <w:pPr>
      <w:tabs>
        <w:tab w:val="center" w:pos="4536"/>
        <w:tab w:val="right" w:pos="9072"/>
      </w:tabs>
    </w:pPr>
  </w:style>
  <w:style w:type="character" w:customStyle="1" w:styleId="NagwekZnak">
    <w:name w:val="Nagłówek Znak"/>
    <w:aliases w:val="Nagłówek strony Znak"/>
    <w:basedOn w:val="Domylnaczcionkaakapitu"/>
    <w:link w:val="Nagwek"/>
    <w:rsid w:val="00A57BFF"/>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59"/>
    <w:rsid w:val="00A57BFF"/>
    <w:pPr>
      <w:spacing w:after="0" w:line="240"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57BFF"/>
    <w:pPr>
      <w:ind w:left="720"/>
      <w:contextualSpacing/>
    </w:pPr>
  </w:style>
  <w:style w:type="character" w:customStyle="1" w:styleId="StylIwonyZnak">
    <w:name w:val="Styl Iwony Znak"/>
    <w:link w:val="StylIwony"/>
    <w:rsid w:val="00A57BFF"/>
    <w:rPr>
      <w:rFonts w:ascii="Bookman Old Style" w:eastAsia="Times New Roman" w:hAnsi="Bookman Old Style" w:cs="Times New Roman"/>
      <w:kern w:val="0"/>
      <w:sz w:val="24"/>
      <w:szCs w:val="20"/>
      <w:lang w:eastAsia="pl-PL"/>
      <w14:ligatures w14:val="none"/>
    </w:rPr>
  </w:style>
  <w:style w:type="paragraph" w:styleId="Poprawka">
    <w:name w:val="Revision"/>
    <w:hidden/>
    <w:uiPriority w:val="99"/>
    <w:semiHidden/>
    <w:rsid w:val="00FB4A3E"/>
    <w:pPr>
      <w:spacing w:after="0" w:line="240" w:lineRule="auto"/>
    </w:pPr>
    <w:rPr>
      <w:rFonts w:ascii="Times New Roman" w:eastAsia="Times New Roman" w:hAnsi="Times New Roman" w:cs="Times New Roman"/>
      <w:kern w:val="0"/>
      <w:sz w:val="24"/>
      <w:szCs w:val="24"/>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3455</Words>
  <Characters>20733</Characters>
  <Application>Microsoft Office Word</Application>
  <DocSecurity>0</DocSecurity>
  <Lines>172</Lines>
  <Paragraphs>48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zzz</dc:creator>
  <cp:keywords/>
  <dc:description/>
  <cp:lastModifiedBy>Karol Kossakowski</cp:lastModifiedBy>
  <cp:revision>8</cp:revision>
  <dcterms:created xsi:type="dcterms:W3CDTF">2025-01-23T12:38:00Z</dcterms:created>
  <dcterms:modified xsi:type="dcterms:W3CDTF">2026-04-11T15:46:00Z</dcterms:modified>
</cp:coreProperties>
</file>